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theme="minorHAnsi"/>
        </w:rPr>
        <w:id w:val="213774795"/>
        <w:docPartObj>
          <w:docPartGallery w:val="Cover Pages"/>
          <w:docPartUnique/>
        </w:docPartObj>
      </w:sdtPr>
      <w:sdtEndPr>
        <w:rPr>
          <w:noProof/>
          <w:lang w:eastAsia="en-AU"/>
        </w:rPr>
      </w:sdtEndPr>
      <w:sdtContent>
        <w:p w14:paraId="798D215C" w14:textId="77777777" w:rsidR="00627938" w:rsidRPr="00A92D3F" w:rsidRDefault="00741891">
          <w:pPr>
            <w:rPr>
              <w:rFonts w:asciiTheme="minorHAnsi" w:hAnsiTheme="minorHAnsi" w:cstheme="minorHAnsi"/>
            </w:rPr>
          </w:pPr>
          <w:r w:rsidRPr="00A92D3F">
            <w:rPr>
              <w:rFonts w:asciiTheme="minorHAnsi" w:hAnsiTheme="minorHAnsi" w:cstheme="minorHAnsi"/>
              <w:noProof/>
              <w:lang w:eastAsia="en-AU"/>
            </w:rPr>
            <w:drawing>
              <wp:anchor distT="0" distB="0" distL="114300" distR="114300" simplePos="0" relativeHeight="251652607" behindDoc="1" locked="1" layoutInCell="1" allowOverlap="1" wp14:anchorId="16C5EE19" wp14:editId="424BE33D">
                <wp:simplePos x="0" y="0"/>
                <wp:positionH relativeFrom="page">
                  <wp:align>center</wp:align>
                </wp:positionH>
                <wp:positionV relativeFrom="page">
                  <wp:align>top</wp:align>
                </wp:positionV>
                <wp:extent cx="7559675" cy="10697210"/>
                <wp:effectExtent l="0" t="0" r="317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e-blue-ram-doc-cover.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7400"/>
                        </a:xfrm>
                        <a:prstGeom prst="rect">
                          <a:avLst/>
                        </a:prstGeom>
                      </pic:spPr>
                    </pic:pic>
                  </a:graphicData>
                </a:graphic>
                <wp14:sizeRelH relativeFrom="margin">
                  <wp14:pctWidth>0</wp14:pctWidth>
                </wp14:sizeRelH>
                <wp14:sizeRelV relativeFrom="margin">
                  <wp14:pctHeight>0</wp14:pctHeight>
                </wp14:sizeRelV>
              </wp:anchor>
            </w:drawing>
          </w:r>
        </w:p>
        <w:p w14:paraId="3645C5F3" w14:textId="77777777" w:rsidR="00627938" w:rsidRPr="00A92D3F" w:rsidRDefault="009967B3" w:rsidP="003C4F10">
          <w:pPr>
            <w:tabs>
              <w:tab w:val="left" w:pos="360"/>
            </w:tabs>
            <w:spacing w:after="0"/>
            <w:rPr>
              <w:rFonts w:asciiTheme="minorHAnsi" w:hAnsiTheme="minorHAnsi" w:cstheme="minorHAnsi"/>
              <w:noProof/>
              <w:lang w:eastAsia="en-AU"/>
            </w:rPr>
          </w:pPr>
          <w:r>
            <w:rPr>
              <w:rFonts w:asciiTheme="minorHAnsi" w:hAnsiTheme="minorHAnsi" w:cstheme="minorHAnsi"/>
              <w:noProof/>
              <w:lang w:eastAsia="en-AU"/>
            </w:rPr>
            <w:object w:dxaOrig="1440" w:dyaOrig="1440" w14:anchorId="50F2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23.05pt;margin-top:264.3pt;width:257.1pt;height:168.8pt;z-index:251670016" o:allowincell="f" stroked="t">
                <v:imagedata r:id="rId12" o:title=""/>
                <v:shadow on="t" color="black" offset="8pt,8pt" offset2="4pt,4pt"/>
                <w10:wrap type="topAndBottom"/>
              </v:shape>
              <o:OLEObject Type="Embed" ProgID="MS_ClipArt_Gallery" ShapeID="_x0000_s1027" DrawAspect="Content" ObjectID="_1578140570" r:id="rId13"/>
            </w:object>
          </w:r>
          <w:r w:rsidR="006B5F2A" w:rsidRPr="00A92D3F">
            <w:rPr>
              <w:rFonts w:asciiTheme="minorHAnsi" w:hAnsiTheme="minorHAnsi" w:cstheme="minorHAnsi"/>
              <w:noProof/>
              <w:lang w:eastAsia="en-AU"/>
            </w:rPr>
            <mc:AlternateContent>
              <mc:Choice Requires="wps">
                <w:drawing>
                  <wp:anchor distT="0" distB="0" distL="114300" distR="114300" simplePos="0" relativeHeight="251662848" behindDoc="0" locked="0" layoutInCell="1" allowOverlap="1" wp14:anchorId="264959EA" wp14:editId="670B4025">
                    <wp:simplePos x="0" y="0"/>
                    <wp:positionH relativeFrom="page">
                      <wp:posOffset>523876</wp:posOffset>
                    </wp:positionH>
                    <wp:positionV relativeFrom="page">
                      <wp:posOffset>7400926</wp:posOffset>
                    </wp:positionV>
                    <wp:extent cx="4514850" cy="192405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514850" cy="1924050"/>
                            </a:xfrm>
                            <a:prstGeom prst="rect">
                              <a:avLst/>
                            </a:prstGeom>
                            <a:noFill/>
                            <a:ln w="6350">
                              <a:noFill/>
                            </a:ln>
                            <a:effectLst/>
                          </wps:spPr>
                          <wps:txbx>
                            <w:txbxContent>
                              <w:p w14:paraId="071771CC" w14:textId="5F14EEDD" w:rsidR="00875847" w:rsidRPr="006B5F2A" w:rsidRDefault="006B5F2A" w:rsidP="006B5F2A">
                                <w:pPr>
                                  <w:pStyle w:val="Title"/>
                                  <w:jc w:val="center"/>
                                  <w:rPr>
                                    <w:sz w:val="44"/>
                                    <w:szCs w:val="44"/>
                                    <w:lang w:val="en-US"/>
                                  </w:rPr>
                                </w:pPr>
                                <w:r>
                                  <w:rPr>
                                    <w:sz w:val="44"/>
                                    <w:szCs w:val="44"/>
                                    <w:lang w:val="en-US"/>
                                  </w:rPr>
                                  <w:t>Protocol for the management of designated zoo animals</w:t>
                                </w:r>
                                <w:r w:rsidR="00A91980">
                                  <w:rPr>
                                    <w:sz w:val="44"/>
                                    <w:szCs w:val="44"/>
                                    <w:lang w:val="en-US"/>
                                  </w:rPr>
                                  <w:t xml:space="preserve"> impOR</w:t>
                                </w:r>
                                <w:r>
                                  <w:rPr>
                                    <w:sz w:val="44"/>
                                    <w:szCs w:val="44"/>
                                    <w:lang w:val="en-US"/>
                                  </w:rPr>
                                  <w:t>ted from countries at risk for transmissible spongiform encephalopathies (TSEs)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4959EA" id="_x0000_t202" coordsize="21600,21600" o:spt="202" path="m,l,21600r21600,l21600,xe">
                    <v:stroke joinstyle="miter"/>
                    <v:path gradientshapeok="t" o:connecttype="rect"/>
                  </v:shapetype>
                  <v:shape id="Text Box 470" o:spid="_x0000_s1026" type="#_x0000_t202" style="position:absolute;margin-left:41.25pt;margin-top:582.75pt;width:355.5pt;height:15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" filled="f" stroked="f" strokeweight=".5pt">
                    <v:textbox>
                      <w:txbxContent>
                        <w:p w14:paraId="071771CC" w14:textId="5F14EEDD" w:rsidR="00875847" w:rsidRPr="006B5F2A" w:rsidRDefault="006B5F2A" w:rsidP="006B5F2A">
                          <w:pPr>
                            <w:pStyle w:val="Title"/>
                            <w:jc w:val="center"/>
                            <w:rPr>
                              <w:sz w:val="44"/>
                              <w:szCs w:val="44"/>
                              <w:lang w:val="en-US"/>
                            </w:rPr>
                          </w:pPr>
                          <w:r>
                            <w:rPr>
                              <w:sz w:val="44"/>
                              <w:szCs w:val="44"/>
                              <w:lang w:val="en-US"/>
                            </w:rPr>
                            <w:t>Protocol for the management of designated zoo animals</w:t>
                          </w:r>
                          <w:r w:rsidR="00A91980">
                            <w:rPr>
                              <w:sz w:val="44"/>
                              <w:szCs w:val="44"/>
                              <w:lang w:val="en-US"/>
                            </w:rPr>
                            <w:t xml:space="preserve"> impOR</w:t>
                          </w:r>
                          <w:r>
                            <w:rPr>
                              <w:sz w:val="44"/>
                              <w:szCs w:val="44"/>
                              <w:lang w:val="en-US"/>
                            </w:rPr>
                            <w:t>ted from countries at risk for transmissible spongiform encephalopathies (TSEs)</w:t>
                          </w:r>
                        </w:p>
                      </w:txbxContent>
                    </v:textbox>
                    <w10:wrap type="square" anchorx="page" anchory="page"/>
                  </v:shape>
                </w:pict>
              </mc:Fallback>
            </mc:AlternateContent>
          </w:r>
          <w:r w:rsidR="00A572FE" w:rsidRPr="00A92D3F">
            <w:rPr>
              <w:rFonts w:asciiTheme="minorHAnsi" w:hAnsiTheme="minorHAnsi" w:cstheme="minorHAnsi"/>
              <w:noProof/>
              <w:lang w:eastAsia="en-AU"/>
            </w:rPr>
            <mc:AlternateContent>
              <mc:Choice Requires="wps">
                <w:drawing>
                  <wp:anchor distT="0" distB="0" distL="114300" distR="114300" simplePos="0" relativeHeight="251665920" behindDoc="0" locked="1" layoutInCell="1" allowOverlap="1" wp14:anchorId="35A8B8FD" wp14:editId="24CD8AD1">
                    <wp:simplePos x="0" y="0"/>
                    <wp:positionH relativeFrom="page">
                      <wp:posOffset>735965</wp:posOffset>
                    </wp:positionH>
                    <wp:positionV relativeFrom="page">
                      <wp:posOffset>9428480</wp:posOffset>
                    </wp:positionV>
                    <wp:extent cx="6791960" cy="11430"/>
                    <wp:effectExtent l="0" t="0" r="27940" b="26670"/>
                    <wp:wrapNone/>
                    <wp:docPr id="2" name="Straight Connector 2"/>
                    <wp:cNvGraphicFramePr/>
                    <a:graphic xmlns:a="http://schemas.openxmlformats.org/drawingml/2006/main">
                      <a:graphicData uri="http://schemas.microsoft.com/office/word/2010/wordprocessingShape">
                        <wps:wsp>
                          <wps:cNvCnPr/>
                          <wps:spPr>
                            <a:xfrm>
                              <a:off x="0" y="0"/>
                              <a:ext cx="6791960" cy="1143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E27D9" id="Straight Connector 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7.95pt,742.4pt" to="592.75pt,7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" strokecolor="white [3212]" strokeweight=".5pt">
                    <v:stroke joinstyle="miter"/>
                    <w10:wrap anchorx="page" anchory="page"/>
                    <w10:anchorlock/>
                  </v:line>
                </w:pict>
              </mc:Fallback>
            </mc:AlternateContent>
          </w:r>
          <w:r w:rsidR="00A21B98" w:rsidRPr="00A92D3F">
            <w:rPr>
              <w:rFonts w:asciiTheme="minorHAnsi" w:hAnsiTheme="minorHAnsi" w:cstheme="minorHAnsi"/>
              <w:noProof/>
              <w:lang w:eastAsia="en-AU"/>
            </w:rPr>
            <mc:AlternateContent>
              <mc:Choice Requires="wps">
                <w:drawing>
                  <wp:anchor distT="0" distB="0" distL="114300" distR="114300" simplePos="0" relativeHeight="251664896" behindDoc="0" locked="0" layoutInCell="1" allowOverlap="1" wp14:anchorId="7C5343A5" wp14:editId="21571B56">
                    <wp:simplePos x="0" y="0"/>
                    <wp:positionH relativeFrom="page">
                      <wp:posOffset>635000</wp:posOffset>
                    </wp:positionH>
                    <wp:positionV relativeFrom="page">
                      <wp:posOffset>9576986</wp:posOffset>
                    </wp:positionV>
                    <wp:extent cx="4752975" cy="8572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752975" cy="857250"/>
                            </a:xfrm>
                            <a:prstGeom prst="rect">
                              <a:avLst/>
                            </a:prstGeom>
                            <a:noFill/>
                            <a:ln w="6350">
                              <a:noFill/>
                            </a:ln>
                            <a:effectLst/>
                          </wps:spPr>
                          <wps:txbx>
                            <w:txbxContent>
                              <w:p w14:paraId="2520B310" w14:textId="2BFD72F4" w:rsidR="00875847" w:rsidRPr="006B5F2A" w:rsidRDefault="006B5F2A" w:rsidP="006B5F2A">
                                <w:pPr>
                                  <w:pStyle w:val="Subtitle"/>
                                  <w:jc w:val="center"/>
                                  <w:rPr>
                                    <w:rFonts w:eastAsiaTheme="majorEastAsia"/>
                                    <w:noProof/>
                                    <w:lang w:val="en-US"/>
                                  </w:rPr>
                                </w:pPr>
                                <w:r>
                                  <w:rPr>
                                    <w:noProof/>
                                    <w:lang w:val="en-US"/>
                                  </w:rPr>
                                  <w:t>2</w:t>
                                </w:r>
                                <w:r w:rsidR="00712F40">
                                  <w:rPr>
                                    <w:noProof/>
                                    <w:lang w:val="en-US"/>
                                  </w:rPr>
                                  <w:t>017-18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5343A5" id="Text Box 8" o:spid="_x0000_s1027" type="#_x0000_t202" style="position:absolute;margin-left:50pt;margin-top:754.1pt;width:374.25pt;height:6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" filled="f" stroked="f" strokeweight=".5pt">
                    <v:textbox>
                      <w:txbxContent>
                        <w:p w14:paraId="2520B310" w14:textId="2BFD72F4" w:rsidR="00875847" w:rsidRPr="006B5F2A" w:rsidRDefault="006B5F2A" w:rsidP="006B5F2A">
                          <w:pPr>
                            <w:pStyle w:val="Subtitle"/>
                            <w:jc w:val="center"/>
                            <w:rPr>
                              <w:rFonts w:eastAsiaTheme="majorEastAsia"/>
                              <w:noProof/>
                              <w:lang w:val="en-US"/>
                            </w:rPr>
                          </w:pPr>
                          <w:r>
                            <w:rPr>
                              <w:noProof/>
                              <w:lang w:val="en-US"/>
                            </w:rPr>
                            <w:t>2</w:t>
                          </w:r>
                          <w:r w:rsidR="00712F40">
                            <w:rPr>
                              <w:noProof/>
                              <w:lang w:val="en-US"/>
                            </w:rPr>
                            <w:t>017-18</w:t>
                          </w:r>
                        </w:p>
                      </w:txbxContent>
                    </v:textbox>
                    <w10:wrap type="square" anchorx="page" anchory="page"/>
                  </v:shape>
                </w:pict>
              </mc:Fallback>
            </mc:AlternateContent>
          </w:r>
          <w:r w:rsidR="00627938" w:rsidRPr="00A92D3F">
            <w:rPr>
              <w:rFonts w:asciiTheme="minorHAnsi" w:hAnsiTheme="minorHAnsi" w:cstheme="minorHAnsi"/>
              <w:noProof/>
              <w:lang w:eastAsia="en-AU"/>
            </w:rPr>
            <w:br w:type="page"/>
          </w:r>
        </w:p>
      </w:sdtContent>
    </w:sdt>
    <w:p w14:paraId="2DC7DB1D" w14:textId="77777777" w:rsidR="00533117" w:rsidRPr="00A92D3F" w:rsidRDefault="00533117" w:rsidP="00533117">
      <w:pPr>
        <w:pStyle w:val="Heading1"/>
        <w:rPr>
          <w:rFonts w:cstheme="minorHAnsi"/>
        </w:rPr>
      </w:pPr>
      <w:bookmarkStart w:id="1" w:name="_Toc243043341"/>
      <w:bookmarkStart w:id="2" w:name="_Toc465089707"/>
      <w:r w:rsidRPr="00A92D3F">
        <w:rPr>
          <w:rFonts w:cstheme="minorHAnsi"/>
        </w:rPr>
        <w:lastRenderedPageBreak/>
        <w:t>Contents</w:t>
      </w:r>
      <w:bookmarkEnd w:id="1"/>
      <w:bookmarkEnd w:id="2"/>
    </w:p>
    <w:p w14:paraId="70C04D76" w14:textId="78FC9780" w:rsidR="007C3C43" w:rsidRDefault="00533117">
      <w:pPr>
        <w:pStyle w:val="TOC1"/>
        <w:rPr>
          <w:rFonts w:asciiTheme="minorHAnsi" w:eastAsiaTheme="minorEastAsia" w:hAnsiTheme="minorHAnsi" w:cstheme="minorBidi"/>
          <w:b w:val="0"/>
          <w:bCs w:val="0"/>
          <w:caps w:val="0"/>
          <w:color w:val="auto"/>
          <w:sz w:val="22"/>
          <w:szCs w:val="22"/>
          <w:lang w:eastAsia="en-AU"/>
        </w:rPr>
      </w:pPr>
      <w:r w:rsidRPr="00A92D3F">
        <w:rPr>
          <w:rFonts w:asciiTheme="minorHAnsi" w:hAnsiTheme="minorHAnsi" w:cstheme="minorHAnsi"/>
          <w:smallCaps/>
          <w:sz w:val="22"/>
          <w:szCs w:val="22"/>
        </w:rPr>
        <w:fldChar w:fldCharType="begin"/>
      </w:r>
      <w:r w:rsidRPr="00A92D3F">
        <w:rPr>
          <w:rFonts w:asciiTheme="minorHAnsi" w:hAnsiTheme="minorHAnsi" w:cstheme="minorHAnsi"/>
          <w:smallCaps/>
          <w:sz w:val="22"/>
          <w:szCs w:val="22"/>
        </w:rPr>
        <w:instrText xml:space="preserve"> TOC \o "1-3" \h \z \u </w:instrText>
      </w:r>
      <w:r w:rsidRPr="00A92D3F">
        <w:rPr>
          <w:rFonts w:asciiTheme="minorHAnsi" w:hAnsiTheme="minorHAnsi" w:cstheme="minorHAnsi"/>
          <w:smallCaps/>
          <w:sz w:val="22"/>
          <w:szCs w:val="22"/>
        </w:rPr>
        <w:fldChar w:fldCharType="separate"/>
      </w:r>
      <w:hyperlink w:anchor="_Toc465089707" w:history="1"/>
    </w:p>
    <w:p w14:paraId="1C68A826" w14:textId="77777777" w:rsidR="007C3C43" w:rsidRDefault="009967B3">
      <w:pPr>
        <w:pStyle w:val="TOC1"/>
        <w:rPr>
          <w:rFonts w:asciiTheme="minorHAnsi" w:eastAsiaTheme="minorEastAsia" w:hAnsiTheme="minorHAnsi" w:cstheme="minorBidi"/>
          <w:b w:val="0"/>
          <w:bCs w:val="0"/>
          <w:caps w:val="0"/>
          <w:color w:val="auto"/>
          <w:sz w:val="22"/>
          <w:szCs w:val="22"/>
          <w:lang w:eastAsia="en-AU"/>
        </w:rPr>
      </w:pPr>
      <w:hyperlink w:anchor="_Toc465089708" w:history="1">
        <w:r w:rsidR="007C3C43" w:rsidRPr="008D54EB">
          <w:rPr>
            <w:rStyle w:val="Hyperlink"/>
            <w:rFonts w:cstheme="minorHAnsi"/>
          </w:rPr>
          <w:t>1</w:t>
        </w:r>
        <w:r w:rsidR="007C3C43">
          <w:rPr>
            <w:rFonts w:asciiTheme="minorHAnsi" w:eastAsiaTheme="minorEastAsia" w:hAnsiTheme="minorHAnsi" w:cstheme="minorBidi"/>
            <w:b w:val="0"/>
            <w:bCs w:val="0"/>
            <w:caps w:val="0"/>
            <w:color w:val="auto"/>
            <w:sz w:val="22"/>
            <w:szCs w:val="22"/>
            <w:lang w:eastAsia="en-AU"/>
          </w:rPr>
          <w:tab/>
        </w:r>
        <w:r w:rsidR="007C3C43" w:rsidRPr="008D54EB">
          <w:rPr>
            <w:rStyle w:val="Hyperlink"/>
            <w:rFonts w:cstheme="minorHAnsi"/>
          </w:rPr>
          <w:t>INTRODUCTION</w:t>
        </w:r>
        <w:r w:rsidR="007C3C43">
          <w:rPr>
            <w:webHidden/>
          </w:rPr>
          <w:tab/>
        </w:r>
        <w:r w:rsidR="007C3C43">
          <w:rPr>
            <w:webHidden/>
          </w:rPr>
          <w:fldChar w:fldCharType="begin"/>
        </w:r>
        <w:r w:rsidR="007C3C43">
          <w:rPr>
            <w:webHidden/>
          </w:rPr>
          <w:instrText xml:space="preserve"> PAGEREF _Toc465089708 \h </w:instrText>
        </w:r>
        <w:r w:rsidR="007C3C43">
          <w:rPr>
            <w:webHidden/>
          </w:rPr>
        </w:r>
        <w:r w:rsidR="007C3C43">
          <w:rPr>
            <w:webHidden/>
          </w:rPr>
          <w:fldChar w:fldCharType="separate"/>
        </w:r>
        <w:r w:rsidR="00554E0E">
          <w:rPr>
            <w:webHidden/>
          </w:rPr>
          <w:t>3</w:t>
        </w:r>
        <w:r w:rsidR="007C3C43">
          <w:rPr>
            <w:webHidden/>
          </w:rPr>
          <w:fldChar w:fldCharType="end"/>
        </w:r>
      </w:hyperlink>
    </w:p>
    <w:p w14:paraId="76076C14" w14:textId="77777777" w:rsidR="007C3C43" w:rsidRDefault="009967B3">
      <w:pPr>
        <w:pStyle w:val="TOC1"/>
        <w:rPr>
          <w:rFonts w:asciiTheme="minorHAnsi" w:eastAsiaTheme="minorEastAsia" w:hAnsiTheme="minorHAnsi" w:cstheme="minorBidi"/>
          <w:b w:val="0"/>
          <w:bCs w:val="0"/>
          <w:caps w:val="0"/>
          <w:color w:val="auto"/>
          <w:sz w:val="22"/>
          <w:szCs w:val="22"/>
          <w:lang w:eastAsia="en-AU"/>
        </w:rPr>
      </w:pPr>
      <w:hyperlink w:anchor="_Toc465089709" w:history="1">
        <w:r w:rsidR="007C3C43" w:rsidRPr="008D54EB">
          <w:rPr>
            <w:rStyle w:val="Hyperlink"/>
            <w:rFonts w:cstheme="minorHAnsi"/>
          </w:rPr>
          <w:t>2</w:t>
        </w:r>
        <w:r w:rsidR="007C3C43">
          <w:rPr>
            <w:rFonts w:asciiTheme="minorHAnsi" w:eastAsiaTheme="minorEastAsia" w:hAnsiTheme="minorHAnsi" w:cstheme="minorBidi"/>
            <w:b w:val="0"/>
            <w:bCs w:val="0"/>
            <w:caps w:val="0"/>
            <w:color w:val="auto"/>
            <w:sz w:val="22"/>
            <w:szCs w:val="22"/>
            <w:lang w:eastAsia="en-AU"/>
          </w:rPr>
          <w:tab/>
        </w:r>
        <w:r w:rsidR="007C3C43" w:rsidRPr="008D54EB">
          <w:rPr>
            <w:rStyle w:val="Hyperlink"/>
            <w:rFonts w:cstheme="minorHAnsi"/>
          </w:rPr>
          <w:t>ANIMALS OF INTEREST</w:t>
        </w:r>
        <w:r w:rsidR="007C3C43">
          <w:rPr>
            <w:webHidden/>
          </w:rPr>
          <w:tab/>
        </w:r>
        <w:r w:rsidR="007C3C43">
          <w:rPr>
            <w:webHidden/>
          </w:rPr>
          <w:fldChar w:fldCharType="begin"/>
        </w:r>
        <w:r w:rsidR="007C3C43">
          <w:rPr>
            <w:webHidden/>
          </w:rPr>
          <w:instrText xml:space="preserve"> PAGEREF _Toc465089709 \h </w:instrText>
        </w:r>
        <w:r w:rsidR="007C3C43">
          <w:rPr>
            <w:webHidden/>
          </w:rPr>
        </w:r>
        <w:r w:rsidR="007C3C43">
          <w:rPr>
            <w:webHidden/>
          </w:rPr>
          <w:fldChar w:fldCharType="separate"/>
        </w:r>
        <w:r w:rsidR="00554E0E">
          <w:rPr>
            <w:webHidden/>
          </w:rPr>
          <w:t>4</w:t>
        </w:r>
        <w:r w:rsidR="007C3C43">
          <w:rPr>
            <w:webHidden/>
          </w:rPr>
          <w:fldChar w:fldCharType="end"/>
        </w:r>
      </w:hyperlink>
    </w:p>
    <w:p w14:paraId="15CA36E6" w14:textId="77777777" w:rsidR="007C3C43" w:rsidRDefault="009967B3">
      <w:pPr>
        <w:pStyle w:val="TOC1"/>
        <w:rPr>
          <w:rFonts w:asciiTheme="minorHAnsi" w:eastAsiaTheme="minorEastAsia" w:hAnsiTheme="minorHAnsi" w:cstheme="minorBidi"/>
          <w:b w:val="0"/>
          <w:bCs w:val="0"/>
          <w:caps w:val="0"/>
          <w:color w:val="auto"/>
          <w:sz w:val="22"/>
          <w:szCs w:val="22"/>
          <w:lang w:eastAsia="en-AU"/>
        </w:rPr>
      </w:pPr>
      <w:hyperlink w:anchor="_Toc465089710" w:history="1">
        <w:r w:rsidR="007C3C43" w:rsidRPr="008D54EB">
          <w:rPr>
            <w:rStyle w:val="Hyperlink"/>
            <w:rFonts w:cstheme="minorHAnsi"/>
          </w:rPr>
          <w:t>3</w:t>
        </w:r>
        <w:r w:rsidR="007C3C43">
          <w:rPr>
            <w:rFonts w:asciiTheme="minorHAnsi" w:eastAsiaTheme="minorEastAsia" w:hAnsiTheme="minorHAnsi" w:cstheme="minorBidi"/>
            <w:b w:val="0"/>
            <w:bCs w:val="0"/>
            <w:caps w:val="0"/>
            <w:color w:val="auto"/>
            <w:sz w:val="22"/>
            <w:szCs w:val="22"/>
            <w:lang w:eastAsia="en-AU"/>
          </w:rPr>
          <w:tab/>
        </w:r>
        <w:r w:rsidR="007C3C43" w:rsidRPr="008D54EB">
          <w:rPr>
            <w:rStyle w:val="Hyperlink"/>
            <w:rFonts w:cstheme="minorHAnsi"/>
          </w:rPr>
          <w:t>MANAGEMENT OF DESIGNATED ZOO ANIMALS</w:t>
        </w:r>
        <w:r w:rsidR="007C3C43">
          <w:rPr>
            <w:webHidden/>
          </w:rPr>
          <w:tab/>
        </w:r>
        <w:r w:rsidR="007C3C43">
          <w:rPr>
            <w:webHidden/>
          </w:rPr>
          <w:fldChar w:fldCharType="begin"/>
        </w:r>
        <w:r w:rsidR="007C3C43">
          <w:rPr>
            <w:webHidden/>
          </w:rPr>
          <w:instrText xml:space="preserve"> PAGEREF _Toc465089710 \h </w:instrText>
        </w:r>
        <w:r w:rsidR="007C3C43">
          <w:rPr>
            <w:webHidden/>
          </w:rPr>
        </w:r>
        <w:r w:rsidR="007C3C43">
          <w:rPr>
            <w:webHidden/>
          </w:rPr>
          <w:fldChar w:fldCharType="separate"/>
        </w:r>
        <w:r w:rsidR="00554E0E">
          <w:rPr>
            <w:webHidden/>
          </w:rPr>
          <w:t>5</w:t>
        </w:r>
        <w:r w:rsidR="007C3C43">
          <w:rPr>
            <w:webHidden/>
          </w:rPr>
          <w:fldChar w:fldCharType="end"/>
        </w:r>
      </w:hyperlink>
    </w:p>
    <w:p w14:paraId="09A8E44F"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1" w:history="1">
        <w:r w:rsidR="007C3C43" w:rsidRPr="008D54EB">
          <w:rPr>
            <w:rStyle w:val="Hyperlink"/>
            <w:rFonts w:cstheme="minorHAnsi"/>
          </w:rPr>
          <w:t>3.1</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Surgery</w:t>
        </w:r>
        <w:r w:rsidR="007C3C43">
          <w:rPr>
            <w:webHidden/>
          </w:rPr>
          <w:tab/>
        </w:r>
        <w:r w:rsidR="007C3C43">
          <w:rPr>
            <w:webHidden/>
          </w:rPr>
          <w:fldChar w:fldCharType="begin"/>
        </w:r>
        <w:r w:rsidR="007C3C43">
          <w:rPr>
            <w:webHidden/>
          </w:rPr>
          <w:instrText xml:space="preserve"> PAGEREF _Toc465089711 \h </w:instrText>
        </w:r>
        <w:r w:rsidR="007C3C43">
          <w:rPr>
            <w:webHidden/>
          </w:rPr>
        </w:r>
        <w:r w:rsidR="007C3C43">
          <w:rPr>
            <w:webHidden/>
          </w:rPr>
          <w:fldChar w:fldCharType="separate"/>
        </w:r>
        <w:r w:rsidR="00554E0E">
          <w:rPr>
            <w:webHidden/>
          </w:rPr>
          <w:t>5</w:t>
        </w:r>
        <w:r w:rsidR="007C3C43">
          <w:rPr>
            <w:webHidden/>
          </w:rPr>
          <w:fldChar w:fldCharType="end"/>
        </w:r>
      </w:hyperlink>
    </w:p>
    <w:p w14:paraId="2F4B5A81"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2" w:history="1">
        <w:r w:rsidR="007C3C43" w:rsidRPr="008D54EB">
          <w:rPr>
            <w:rStyle w:val="Hyperlink"/>
            <w:rFonts w:cstheme="minorHAnsi"/>
          </w:rPr>
          <w:t>3.2</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Collection and examination of blood and tissue samples</w:t>
        </w:r>
        <w:r w:rsidR="007C3C43">
          <w:rPr>
            <w:webHidden/>
          </w:rPr>
          <w:tab/>
        </w:r>
        <w:r w:rsidR="007C3C43">
          <w:rPr>
            <w:webHidden/>
          </w:rPr>
          <w:fldChar w:fldCharType="begin"/>
        </w:r>
        <w:r w:rsidR="007C3C43">
          <w:rPr>
            <w:webHidden/>
          </w:rPr>
          <w:instrText xml:space="preserve"> PAGEREF _Toc465089712 \h </w:instrText>
        </w:r>
        <w:r w:rsidR="007C3C43">
          <w:rPr>
            <w:webHidden/>
          </w:rPr>
        </w:r>
        <w:r w:rsidR="007C3C43">
          <w:rPr>
            <w:webHidden/>
          </w:rPr>
          <w:fldChar w:fldCharType="separate"/>
        </w:r>
        <w:r w:rsidR="00554E0E">
          <w:rPr>
            <w:webHidden/>
          </w:rPr>
          <w:t>5</w:t>
        </w:r>
        <w:r w:rsidR="007C3C43">
          <w:rPr>
            <w:webHidden/>
          </w:rPr>
          <w:fldChar w:fldCharType="end"/>
        </w:r>
      </w:hyperlink>
    </w:p>
    <w:p w14:paraId="78DBDC5A"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3" w:history="1">
        <w:r w:rsidR="007C3C43" w:rsidRPr="008D54EB">
          <w:rPr>
            <w:rStyle w:val="Hyperlink"/>
            <w:rFonts w:cstheme="minorHAnsi"/>
          </w:rPr>
          <w:t>3.3</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Storage of tissue samples</w:t>
        </w:r>
        <w:r w:rsidR="007C3C43">
          <w:rPr>
            <w:webHidden/>
          </w:rPr>
          <w:tab/>
        </w:r>
        <w:r w:rsidR="007C3C43">
          <w:rPr>
            <w:webHidden/>
          </w:rPr>
          <w:fldChar w:fldCharType="begin"/>
        </w:r>
        <w:r w:rsidR="007C3C43">
          <w:rPr>
            <w:webHidden/>
          </w:rPr>
          <w:instrText xml:space="preserve"> PAGEREF _Toc465089713 \h </w:instrText>
        </w:r>
        <w:r w:rsidR="007C3C43">
          <w:rPr>
            <w:webHidden/>
          </w:rPr>
        </w:r>
        <w:r w:rsidR="007C3C43">
          <w:rPr>
            <w:webHidden/>
          </w:rPr>
          <w:fldChar w:fldCharType="separate"/>
        </w:r>
        <w:r w:rsidR="00554E0E">
          <w:rPr>
            <w:webHidden/>
          </w:rPr>
          <w:t>5</w:t>
        </w:r>
        <w:r w:rsidR="007C3C43">
          <w:rPr>
            <w:webHidden/>
          </w:rPr>
          <w:fldChar w:fldCharType="end"/>
        </w:r>
      </w:hyperlink>
    </w:p>
    <w:p w14:paraId="25A17291"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4" w:history="1">
        <w:r w:rsidR="007C3C43" w:rsidRPr="008D54EB">
          <w:rPr>
            <w:rStyle w:val="Hyperlink"/>
            <w:rFonts w:cstheme="minorHAnsi"/>
          </w:rPr>
          <w:t>3.4</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Bite and needle stick type injuries associated with handling of designated zoo animals</w:t>
        </w:r>
        <w:r w:rsidR="007C3C43">
          <w:rPr>
            <w:webHidden/>
          </w:rPr>
          <w:tab/>
        </w:r>
        <w:r w:rsidR="007C3C43">
          <w:rPr>
            <w:webHidden/>
          </w:rPr>
          <w:fldChar w:fldCharType="begin"/>
        </w:r>
        <w:r w:rsidR="007C3C43">
          <w:rPr>
            <w:webHidden/>
          </w:rPr>
          <w:instrText xml:space="preserve"> PAGEREF _Toc465089714 \h </w:instrText>
        </w:r>
        <w:r w:rsidR="007C3C43">
          <w:rPr>
            <w:webHidden/>
          </w:rPr>
        </w:r>
        <w:r w:rsidR="007C3C43">
          <w:rPr>
            <w:webHidden/>
          </w:rPr>
          <w:fldChar w:fldCharType="separate"/>
        </w:r>
        <w:r w:rsidR="00554E0E">
          <w:rPr>
            <w:webHidden/>
          </w:rPr>
          <w:t>5</w:t>
        </w:r>
        <w:r w:rsidR="007C3C43">
          <w:rPr>
            <w:webHidden/>
          </w:rPr>
          <w:fldChar w:fldCharType="end"/>
        </w:r>
      </w:hyperlink>
    </w:p>
    <w:p w14:paraId="3DB4E08B" w14:textId="77777777" w:rsidR="007C3C43" w:rsidRDefault="009967B3">
      <w:pPr>
        <w:pStyle w:val="TOC2"/>
        <w:tabs>
          <w:tab w:val="left" w:pos="960"/>
        </w:tabs>
        <w:rPr>
          <w:rFonts w:asciiTheme="minorHAnsi" w:eastAsiaTheme="minorEastAsia" w:hAnsiTheme="minorHAnsi" w:cstheme="minorBidi"/>
          <w:color w:val="auto"/>
          <w:szCs w:val="22"/>
          <w:lang w:eastAsia="en-AU"/>
        </w:rPr>
      </w:pPr>
      <w:hyperlink w:anchor="_Toc465089715" w:history="1">
        <w:r w:rsidR="007C3C43" w:rsidRPr="008D54EB">
          <w:rPr>
            <w:rStyle w:val="Hyperlink"/>
            <w:rFonts w:cstheme="minorHAnsi"/>
          </w:rPr>
          <w:t>3.5</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Post-mortem examination of, and the collection and submission of samples from, designated zoo animals</w:t>
        </w:r>
        <w:r w:rsidR="007C3C43">
          <w:rPr>
            <w:webHidden/>
          </w:rPr>
          <w:tab/>
        </w:r>
        <w:r w:rsidR="007C3C43">
          <w:rPr>
            <w:webHidden/>
          </w:rPr>
          <w:fldChar w:fldCharType="begin"/>
        </w:r>
        <w:r w:rsidR="007C3C43">
          <w:rPr>
            <w:webHidden/>
          </w:rPr>
          <w:instrText xml:space="preserve"> PAGEREF _Toc465089715 \h </w:instrText>
        </w:r>
        <w:r w:rsidR="007C3C43">
          <w:rPr>
            <w:webHidden/>
          </w:rPr>
        </w:r>
        <w:r w:rsidR="007C3C43">
          <w:rPr>
            <w:webHidden/>
          </w:rPr>
          <w:fldChar w:fldCharType="separate"/>
        </w:r>
        <w:r w:rsidR="00554E0E">
          <w:rPr>
            <w:webHidden/>
          </w:rPr>
          <w:t>5</w:t>
        </w:r>
        <w:r w:rsidR="007C3C43">
          <w:rPr>
            <w:webHidden/>
          </w:rPr>
          <w:fldChar w:fldCharType="end"/>
        </w:r>
      </w:hyperlink>
    </w:p>
    <w:p w14:paraId="5F17135B"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6" w:history="1">
        <w:r w:rsidR="007C3C43" w:rsidRPr="008D54EB">
          <w:rPr>
            <w:rStyle w:val="Hyperlink"/>
            <w:rFonts w:cstheme="minorHAnsi"/>
          </w:rPr>
          <w:t>3.6</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Disposal of dead animals</w:t>
        </w:r>
        <w:r w:rsidR="007C3C43">
          <w:rPr>
            <w:webHidden/>
          </w:rPr>
          <w:tab/>
        </w:r>
        <w:r w:rsidR="007C3C43">
          <w:rPr>
            <w:webHidden/>
          </w:rPr>
          <w:fldChar w:fldCharType="begin"/>
        </w:r>
        <w:r w:rsidR="007C3C43">
          <w:rPr>
            <w:webHidden/>
          </w:rPr>
          <w:instrText xml:space="preserve"> PAGEREF _Toc465089716 \h </w:instrText>
        </w:r>
        <w:r w:rsidR="007C3C43">
          <w:rPr>
            <w:webHidden/>
          </w:rPr>
        </w:r>
        <w:r w:rsidR="007C3C43">
          <w:rPr>
            <w:webHidden/>
          </w:rPr>
          <w:fldChar w:fldCharType="separate"/>
        </w:r>
        <w:r w:rsidR="00554E0E">
          <w:rPr>
            <w:webHidden/>
          </w:rPr>
          <w:t>6</w:t>
        </w:r>
        <w:r w:rsidR="007C3C43">
          <w:rPr>
            <w:webHidden/>
          </w:rPr>
          <w:fldChar w:fldCharType="end"/>
        </w:r>
      </w:hyperlink>
    </w:p>
    <w:p w14:paraId="134E6241" w14:textId="77777777" w:rsidR="007C3C43" w:rsidRDefault="009967B3">
      <w:pPr>
        <w:pStyle w:val="TOC1"/>
        <w:rPr>
          <w:rFonts w:asciiTheme="minorHAnsi" w:eastAsiaTheme="minorEastAsia" w:hAnsiTheme="minorHAnsi" w:cstheme="minorBidi"/>
          <w:b w:val="0"/>
          <w:bCs w:val="0"/>
          <w:caps w:val="0"/>
          <w:color w:val="auto"/>
          <w:sz w:val="22"/>
          <w:szCs w:val="22"/>
          <w:lang w:eastAsia="en-AU"/>
        </w:rPr>
      </w:pPr>
      <w:hyperlink w:anchor="_Toc465089717" w:history="1">
        <w:r w:rsidR="007C3C43" w:rsidRPr="008D54EB">
          <w:rPr>
            <w:rStyle w:val="Hyperlink"/>
            <w:rFonts w:cstheme="minorHAnsi"/>
          </w:rPr>
          <w:t>4</w:t>
        </w:r>
        <w:r w:rsidR="007C3C43">
          <w:rPr>
            <w:rFonts w:asciiTheme="minorHAnsi" w:eastAsiaTheme="minorEastAsia" w:hAnsiTheme="minorHAnsi" w:cstheme="minorBidi"/>
            <w:b w:val="0"/>
            <w:bCs w:val="0"/>
            <w:caps w:val="0"/>
            <w:color w:val="auto"/>
            <w:sz w:val="22"/>
            <w:szCs w:val="22"/>
            <w:lang w:eastAsia="en-AU"/>
          </w:rPr>
          <w:tab/>
        </w:r>
        <w:r w:rsidR="007C3C43" w:rsidRPr="008D54EB">
          <w:rPr>
            <w:rStyle w:val="Hyperlink"/>
            <w:rFonts w:cstheme="minorHAnsi"/>
          </w:rPr>
          <w:t>RESPONSE ACTION TO A TSE DIAGNOSIS</w:t>
        </w:r>
        <w:r w:rsidR="007C3C43">
          <w:rPr>
            <w:webHidden/>
          </w:rPr>
          <w:tab/>
        </w:r>
        <w:r w:rsidR="007C3C43">
          <w:rPr>
            <w:webHidden/>
          </w:rPr>
          <w:fldChar w:fldCharType="begin"/>
        </w:r>
        <w:r w:rsidR="007C3C43">
          <w:rPr>
            <w:webHidden/>
          </w:rPr>
          <w:instrText xml:space="preserve"> PAGEREF _Toc465089717 \h </w:instrText>
        </w:r>
        <w:r w:rsidR="007C3C43">
          <w:rPr>
            <w:webHidden/>
          </w:rPr>
        </w:r>
        <w:r w:rsidR="007C3C43">
          <w:rPr>
            <w:webHidden/>
          </w:rPr>
          <w:fldChar w:fldCharType="separate"/>
        </w:r>
        <w:r w:rsidR="00554E0E">
          <w:rPr>
            <w:webHidden/>
          </w:rPr>
          <w:t>7</w:t>
        </w:r>
        <w:r w:rsidR="007C3C43">
          <w:rPr>
            <w:webHidden/>
          </w:rPr>
          <w:fldChar w:fldCharType="end"/>
        </w:r>
      </w:hyperlink>
    </w:p>
    <w:p w14:paraId="411C0312"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8" w:history="1">
        <w:r w:rsidR="007C3C43" w:rsidRPr="008D54EB">
          <w:rPr>
            <w:rStyle w:val="Hyperlink"/>
            <w:rFonts w:cstheme="minorHAnsi"/>
          </w:rPr>
          <w:t>4.1</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Progeny and in-contact animals</w:t>
        </w:r>
        <w:r w:rsidR="007C3C43">
          <w:rPr>
            <w:webHidden/>
          </w:rPr>
          <w:tab/>
        </w:r>
        <w:r w:rsidR="007C3C43">
          <w:rPr>
            <w:webHidden/>
          </w:rPr>
          <w:fldChar w:fldCharType="begin"/>
        </w:r>
        <w:r w:rsidR="007C3C43">
          <w:rPr>
            <w:webHidden/>
          </w:rPr>
          <w:instrText xml:space="preserve"> PAGEREF _Toc465089718 \h </w:instrText>
        </w:r>
        <w:r w:rsidR="007C3C43">
          <w:rPr>
            <w:webHidden/>
          </w:rPr>
        </w:r>
        <w:r w:rsidR="007C3C43">
          <w:rPr>
            <w:webHidden/>
          </w:rPr>
          <w:fldChar w:fldCharType="separate"/>
        </w:r>
        <w:r w:rsidR="00554E0E">
          <w:rPr>
            <w:webHidden/>
          </w:rPr>
          <w:t>7</w:t>
        </w:r>
        <w:r w:rsidR="007C3C43">
          <w:rPr>
            <w:webHidden/>
          </w:rPr>
          <w:fldChar w:fldCharType="end"/>
        </w:r>
      </w:hyperlink>
    </w:p>
    <w:p w14:paraId="6AAEB0DD"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19" w:history="1">
        <w:r w:rsidR="007C3C43" w:rsidRPr="008D54EB">
          <w:rPr>
            <w:rStyle w:val="Hyperlink"/>
            <w:rFonts w:cstheme="minorHAnsi"/>
          </w:rPr>
          <w:t>4.2</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Animal enclosures</w:t>
        </w:r>
        <w:r w:rsidR="007C3C43">
          <w:rPr>
            <w:webHidden/>
          </w:rPr>
          <w:tab/>
        </w:r>
        <w:r w:rsidR="007C3C43">
          <w:rPr>
            <w:webHidden/>
          </w:rPr>
          <w:fldChar w:fldCharType="begin"/>
        </w:r>
        <w:r w:rsidR="007C3C43">
          <w:rPr>
            <w:webHidden/>
          </w:rPr>
          <w:instrText xml:space="preserve"> PAGEREF _Toc465089719 \h </w:instrText>
        </w:r>
        <w:r w:rsidR="007C3C43">
          <w:rPr>
            <w:webHidden/>
          </w:rPr>
        </w:r>
        <w:r w:rsidR="007C3C43">
          <w:rPr>
            <w:webHidden/>
          </w:rPr>
          <w:fldChar w:fldCharType="separate"/>
        </w:r>
        <w:r w:rsidR="00554E0E">
          <w:rPr>
            <w:webHidden/>
          </w:rPr>
          <w:t>7</w:t>
        </w:r>
        <w:r w:rsidR="007C3C43">
          <w:rPr>
            <w:webHidden/>
          </w:rPr>
          <w:fldChar w:fldCharType="end"/>
        </w:r>
      </w:hyperlink>
    </w:p>
    <w:p w14:paraId="4AC3FAA2" w14:textId="77777777" w:rsidR="007C3C43" w:rsidRDefault="009967B3">
      <w:pPr>
        <w:pStyle w:val="TOC2"/>
        <w:tabs>
          <w:tab w:val="left" w:pos="1200"/>
        </w:tabs>
        <w:rPr>
          <w:rFonts w:asciiTheme="minorHAnsi" w:eastAsiaTheme="minorEastAsia" w:hAnsiTheme="minorHAnsi" w:cstheme="minorBidi"/>
          <w:color w:val="auto"/>
          <w:szCs w:val="22"/>
          <w:lang w:eastAsia="en-AU"/>
        </w:rPr>
      </w:pPr>
      <w:hyperlink w:anchor="_Toc465089720" w:history="1">
        <w:r w:rsidR="007C3C43" w:rsidRPr="008D54EB">
          <w:rPr>
            <w:rStyle w:val="Hyperlink"/>
            <w:rFonts w:cstheme="minorHAnsi"/>
          </w:rPr>
          <w:t>4.3</w:t>
        </w:r>
        <w:r w:rsidR="007C3C43">
          <w:rPr>
            <w:rFonts w:asciiTheme="minorHAnsi" w:eastAsiaTheme="minorEastAsia" w:hAnsiTheme="minorHAnsi" w:cstheme="minorBidi"/>
            <w:color w:val="auto"/>
            <w:szCs w:val="22"/>
            <w:lang w:eastAsia="en-AU"/>
          </w:rPr>
          <w:tab/>
        </w:r>
        <w:r w:rsidR="007C3C43" w:rsidRPr="008D54EB">
          <w:rPr>
            <w:rStyle w:val="Hyperlink"/>
            <w:rFonts w:cstheme="minorHAnsi"/>
          </w:rPr>
          <w:t>Stored tissue material</w:t>
        </w:r>
        <w:r w:rsidR="007C3C43">
          <w:rPr>
            <w:webHidden/>
          </w:rPr>
          <w:tab/>
        </w:r>
        <w:r w:rsidR="007C3C43">
          <w:rPr>
            <w:webHidden/>
          </w:rPr>
          <w:fldChar w:fldCharType="begin"/>
        </w:r>
        <w:r w:rsidR="007C3C43">
          <w:rPr>
            <w:webHidden/>
          </w:rPr>
          <w:instrText xml:space="preserve"> PAGEREF _Toc465089720 \h </w:instrText>
        </w:r>
        <w:r w:rsidR="007C3C43">
          <w:rPr>
            <w:webHidden/>
          </w:rPr>
        </w:r>
        <w:r w:rsidR="007C3C43">
          <w:rPr>
            <w:webHidden/>
          </w:rPr>
          <w:fldChar w:fldCharType="separate"/>
        </w:r>
        <w:r w:rsidR="00554E0E">
          <w:rPr>
            <w:webHidden/>
          </w:rPr>
          <w:t>7</w:t>
        </w:r>
        <w:r w:rsidR="007C3C43">
          <w:rPr>
            <w:webHidden/>
          </w:rPr>
          <w:fldChar w:fldCharType="end"/>
        </w:r>
      </w:hyperlink>
    </w:p>
    <w:p w14:paraId="5B72E55A" w14:textId="77777777" w:rsidR="007C3C43" w:rsidRDefault="009967B3">
      <w:pPr>
        <w:pStyle w:val="TOC2"/>
        <w:rPr>
          <w:rFonts w:asciiTheme="minorHAnsi" w:eastAsiaTheme="minorEastAsia" w:hAnsiTheme="minorHAnsi" w:cstheme="minorBidi"/>
          <w:color w:val="auto"/>
          <w:szCs w:val="22"/>
          <w:lang w:eastAsia="en-AU"/>
        </w:rPr>
      </w:pPr>
      <w:hyperlink w:anchor="_Toc465089721" w:history="1">
        <w:r w:rsidR="007C3C43" w:rsidRPr="008D54EB">
          <w:rPr>
            <w:rStyle w:val="Hyperlink"/>
            <w:rFonts w:cstheme="minorHAnsi"/>
          </w:rPr>
          <w:t>Other TSEs</w:t>
        </w:r>
        <w:r w:rsidR="007C3C43">
          <w:rPr>
            <w:webHidden/>
          </w:rPr>
          <w:tab/>
        </w:r>
        <w:r w:rsidR="007C3C43">
          <w:rPr>
            <w:webHidden/>
          </w:rPr>
          <w:fldChar w:fldCharType="begin"/>
        </w:r>
        <w:r w:rsidR="007C3C43">
          <w:rPr>
            <w:webHidden/>
          </w:rPr>
          <w:instrText xml:space="preserve"> PAGEREF _Toc465089721 \h </w:instrText>
        </w:r>
        <w:r w:rsidR="007C3C43">
          <w:rPr>
            <w:webHidden/>
          </w:rPr>
        </w:r>
        <w:r w:rsidR="007C3C43">
          <w:rPr>
            <w:webHidden/>
          </w:rPr>
          <w:fldChar w:fldCharType="separate"/>
        </w:r>
        <w:r w:rsidR="00554E0E">
          <w:rPr>
            <w:webHidden/>
          </w:rPr>
          <w:t>7</w:t>
        </w:r>
        <w:r w:rsidR="007C3C43">
          <w:rPr>
            <w:webHidden/>
          </w:rPr>
          <w:fldChar w:fldCharType="end"/>
        </w:r>
      </w:hyperlink>
    </w:p>
    <w:p w14:paraId="61D598FE" w14:textId="77777777" w:rsidR="007C3C43" w:rsidRDefault="009967B3">
      <w:pPr>
        <w:pStyle w:val="TOC2"/>
        <w:rPr>
          <w:rFonts w:asciiTheme="minorHAnsi" w:eastAsiaTheme="minorEastAsia" w:hAnsiTheme="minorHAnsi" w:cstheme="minorBidi"/>
          <w:color w:val="auto"/>
          <w:szCs w:val="22"/>
          <w:lang w:eastAsia="en-AU"/>
        </w:rPr>
      </w:pPr>
      <w:hyperlink w:anchor="_Toc465089722" w:history="1">
        <w:r w:rsidR="007C3C43" w:rsidRPr="008D54EB">
          <w:rPr>
            <w:rStyle w:val="Hyperlink"/>
            <w:rFonts w:cstheme="minorHAnsi"/>
          </w:rPr>
          <w:t>ANNEX 1</w:t>
        </w:r>
        <w:r w:rsidR="007C3C43">
          <w:rPr>
            <w:webHidden/>
          </w:rPr>
          <w:tab/>
        </w:r>
        <w:r w:rsidR="007C3C43">
          <w:rPr>
            <w:webHidden/>
          </w:rPr>
          <w:fldChar w:fldCharType="begin"/>
        </w:r>
        <w:r w:rsidR="007C3C43">
          <w:rPr>
            <w:webHidden/>
          </w:rPr>
          <w:instrText xml:space="preserve"> PAGEREF _Toc465089722 \h </w:instrText>
        </w:r>
        <w:r w:rsidR="007C3C43">
          <w:rPr>
            <w:webHidden/>
          </w:rPr>
        </w:r>
        <w:r w:rsidR="007C3C43">
          <w:rPr>
            <w:webHidden/>
          </w:rPr>
          <w:fldChar w:fldCharType="separate"/>
        </w:r>
        <w:r w:rsidR="00554E0E">
          <w:rPr>
            <w:webHidden/>
          </w:rPr>
          <w:t>9</w:t>
        </w:r>
        <w:r w:rsidR="007C3C43">
          <w:rPr>
            <w:webHidden/>
          </w:rPr>
          <w:fldChar w:fldCharType="end"/>
        </w:r>
      </w:hyperlink>
    </w:p>
    <w:p w14:paraId="5A5B264F" w14:textId="77777777" w:rsidR="007C3C43" w:rsidRDefault="009967B3">
      <w:pPr>
        <w:pStyle w:val="TOC2"/>
        <w:rPr>
          <w:rFonts w:asciiTheme="minorHAnsi" w:eastAsiaTheme="minorEastAsia" w:hAnsiTheme="minorHAnsi" w:cstheme="minorBidi"/>
          <w:color w:val="auto"/>
          <w:szCs w:val="22"/>
          <w:lang w:eastAsia="en-AU"/>
        </w:rPr>
      </w:pPr>
      <w:hyperlink w:anchor="_Toc465089723" w:history="1">
        <w:r w:rsidR="007C3C43" w:rsidRPr="008D54EB">
          <w:rPr>
            <w:rStyle w:val="Hyperlink"/>
          </w:rPr>
          <w:t>Guidelines for performing post mortem examinations and sample collections from designated zoo animals for the purpose of TSE exclusion</w:t>
        </w:r>
        <w:r w:rsidR="007C3C43">
          <w:rPr>
            <w:webHidden/>
          </w:rPr>
          <w:tab/>
        </w:r>
        <w:r w:rsidR="007C3C43">
          <w:rPr>
            <w:webHidden/>
          </w:rPr>
          <w:fldChar w:fldCharType="begin"/>
        </w:r>
        <w:r w:rsidR="007C3C43">
          <w:rPr>
            <w:webHidden/>
          </w:rPr>
          <w:instrText xml:space="preserve"> PAGEREF _Toc465089723 \h </w:instrText>
        </w:r>
        <w:r w:rsidR="007C3C43">
          <w:rPr>
            <w:webHidden/>
          </w:rPr>
        </w:r>
        <w:r w:rsidR="007C3C43">
          <w:rPr>
            <w:webHidden/>
          </w:rPr>
          <w:fldChar w:fldCharType="separate"/>
        </w:r>
        <w:r w:rsidR="00554E0E">
          <w:rPr>
            <w:webHidden/>
          </w:rPr>
          <w:t>9</w:t>
        </w:r>
        <w:r w:rsidR="007C3C43">
          <w:rPr>
            <w:webHidden/>
          </w:rPr>
          <w:fldChar w:fldCharType="end"/>
        </w:r>
      </w:hyperlink>
    </w:p>
    <w:p w14:paraId="75D97CF6" w14:textId="77777777" w:rsidR="007C3C43" w:rsidRDefault="009967B3">
      <w:pPr>
        <w:pStyle w:val="TOC2"/>
        <w:rPr>
          <w:rFonts w:asciiTheme="minorHAnsi" w:eastAsiaTheme="minorEastAsia" w:hAnsiTheme="minorHAnsi" w:cstheme="minorBidi"/>
          <w:color w:val="auto"/>
          <w:szCs w:val="22"/>
          <w:lang w:eastAsia="en-AU"/>
        </w:rPr>
      </w:pPr>
      <w:hyperlink w:anchor="_Toc465089724" w:history="1">
        <w:r w:rsidR="007C3C43" w:rsidRPr="008D54EB">
          <w:rPr>
            <w:rStyle w:val="Hyperlink"/>
            <w:rFonts w:cstheme="minorHAnsi"/>
          </w:rPr>
          <w:t>ANNEX 2</w:t>
        </w:r>
        <w:r w:rsidR="007C3C43">
          <w:rPr>
            <w:webHidden/>
          </w:rPr>
          <w:tab/>
        </w:r>
        <w:r w:rsidR="007C3C43">
          <w:rPr>
            <w:webHidden/>
          </w:rPr>
          <w:fldChar w:fldCharType="begin"/>
        </w:r>
        <w:r w:rsidR="007C3C43">
          <w:rPr>
            <w:webHidden/>
          </w:rPr>
          <w:instrText xml:space="preserve"> PAGEREF _Toc465089724 \h </w:instrText>
        </w:r>
        <w:r w:rsidR="007C3C43">
          <w:rPr>
            <w:webHidden/>
          </w:rPr>
        </w:r>
        <w:r w:rsidR="007C3C43">
          <w:rPr>
            <w:webHidden/>
          </w:rPr>
          <w:fldChar w:fldCharType="separate"/>
        </w:r>
        <w:r w:rsidR="00554E0E">
          <w:rPr>
            <w:webHidden/>
          </w:rPr>
          <w:t>13</w:t>
        </w:r>
        <w:r w:rsidR="007C3C43">
          <w:rPr>
            <w:webHidden/>
          </w:rPr>
          <w:fldChar w:fldCharType="end"/>
        </w:r>
      </w:hyperlink>
    </w:p>
    <w:p w14:paraId="339BE886" w14:textId="77777777" w:rsidR="007C3C43" w:rsidRDefault="009967B3">
      <w:pPr>
        <w:pStyle w:val="TOC2"/>
        <w:rPr>
          <w:rFonts w:asciiTheme="minorHAnsi" w:eastAsiaTheme="minorEastAsia" w:hAnsiTheme="minorHAnsi" w:cstheme="minorBidi"/>
          <w:color w:val="auto"/>
          <w:szCs w:val="22"/>
          <w:lang w:eastAsia="en-AU"/>
        </w:rPr>
      </w:pPr>
      <w:hyperlink w:anchor="_Toc465089725" w:history="1">
        <w:r w:rsidR="007C3C43" w:rsidRPr="008D54EB">
          <w:rPr>
            <w:rStyle w:val="Hyperlink"/>
            <w:rFonts w:cstheme="minorHAnsi"/>
          </w:rPr>
          <w:t>Safety equipment that may be suggested for use with post mortem examinations from designated zoo animals for TSE exclusion</w:t>
        </w:r>
        <w:r w:rsidR="007C3C43">
          <w:rPr>
            <w:webHidden/>
          </w:rPr>
          <w:tab/>
        </w:r>
        <w:r w:rsidR="007C3C43">
          <w:rPr>
            <w:webHidden/>
          </w:rPr>
          <w:fldChar w:fldCharType="begin"/>
        </w:r>
        <w:r w:rsidR="007C3C43">
          <w:rPr>
            <w:webHidden/>
          </w:rPr>
          <w:instrText xml:space="preserve"> PAGEREF _Toc465089725 \h </w:instrText>
        </w:r>
        <w:r w:rsidR="007C3C43">
          <w:rPr>
            <w:webHidden/>
          </w:rPr>
        </w:r>
        <w:r w:rsidR="007C3C43">
          <w:rPr>
            <w:webHidden/>
          </w:rPr>
          <w:fldChar w:fldCharType="separate"/>
        </w:r>
        <w:r w:rsidR="00554E0E">
          <w:rPr>
            <w:webHidden/>
          </w:rPr>
          <w:t>13</w:t>
        </w:r>
        <w:r w:rsidR="007C3C43">
          <w:rPr>
            <w:webHidden/>
          </w:rPr>
          <w:fldChar w:fldCharType="end"/>
        </w:r>
      </w:hyperlink>
    </w:p>
    <w:p w14:paraId="7F341998" w14:textId="77777777" w:rsidR="007C3C43" w:rsidRDefault="009967B3">
      <w:pPr>
        <w:pStyle w:val="TOC2"/>
        <w:rPr>
          <w:rFonts w:asciiTheme="minorHAnsi" w:eastAsiaTheme="minorEastAsia" w:hAnsiTheme="minorHAnsi" w:cstheme="minorBidi"/>
          <w:color w:val="auto"/>
          <w:szCs w:val="22"/>
          <w:lang w:eastAsia="en-AU"/>
        </w:rPr>
      </w:pPr>
      <w:hyperlink w:anchor="_Toc465089726" w:history="1">
        <w:r w:rsidR="007C3C43" w:rsidRPr="008D54EB">
          <w:rPr>
            <w:rStyle w:val="Hyperlink"/>
            <w:rFonts w:cstheme="minorHAnsi"/>
          </w:rPr>
          <w:t>ANNEX 3</w:t>
        </w:r>
        <w:r w:rsidR="007C3C43">
          <w:rPr>
            <w:webHidden/>
          </w:rPr>
          <w:tab/>
        </w:r>
        <w:r w:rsidR="007C3C43">
          <w:rPr>
            <w:webHidden/>
          </w:rPr>
          <w:fldChar w:fldCharType="begin"/>
        </w:r>
        <w:r w:rsidR="007C3C43">
          <w:rPr>
            <w:webHidden/>
          </w:rPr>
          <w:instrText xml:space="preserve"> PAGEREF _Toc465089726 \h </w:instrText>
        </w:r>
        <w:r w:rsidR="007C3C43">
          <w:rPr>
            <w:webHidden/>
          </w:rPr>
        </w:r>
        <w:r w:rsidR="007C3C43">
          <w:rPr>
            <w:webHidden/>
          </w:rPr>
          <w:fldChar w:fldCharType="separate"/>
        </w:r>
        <w:r w:rsidR="00554E0E">
          <w:rPr>
            <w:webHidden/>
          </w:rPr>
          <w:t>14</w:t>
        </w:r>
        <w:r w:rsidR="007C3C43">
          <w:rPr>
            <w:webHidden/>
          </w:rPr>
          <w:fldChar w:fldCharType="end"/>
        </w:r>
      </w:hyperlink>
    </w:p>
    <w:p w14:paraId="0CC6CFE9" w14:textId="77777777" w:rsidR="007C3C43" w:rsidRDefault="009967B3">
      <w:pPr>
        <w:pStyle w:val="TOC2"/>
        <w:rPr>
          <w:rFonts w:asciiTheme="minorHAnsi" w:eastAsiaTheme="minorEastAsia" w:hAnsiTheme="minorHAnsi" w:cstheme="minorBidi"/>
          <w:color w:val="auto"/>
          <w:szCs w:val="22"/>
          <w:lang w:eastAsia="en-AU"/>
        </w:rPr>
      </w:pPr>
      <w:hyperlink w:anchor="_Toc465089727" w:history="1">
        <w:r w:rsidR="007C3C43" w:rsidRPr="008D54EB">
          <w:rPr>
            <w:rStyle w:val="Hyperlink"/>
            <w:rFonts w:cstheme="minorHAnsi"/>
          </w:rPr>
          <w:t>National TSE surveillance project – State and AHA coordinators</w:t>
        </w:r>
        <w:r w:rsidR="007C3C43">
          <w:rPr>
            <w:webHidden/>
          </w:rPr>
          <w:tab/>
        </w:r>
        <w:r w:rsidR="007C3C43">
          <w:rPr>
            <w:webHidden/>
          </w:rPr>
          <w:fldChar w:fldCharType="begin"/>
        </w:r>
        <w:r w:rsidR="007C3C43">
          <w:rPr>
            <w:webHidden/>
          </w:rPr>
          <w:instrText xml:space="preserve"> PAGEREF _Toc465089727 \h </w:instrText>
        </w:r>
        <w:r w:rsidR="007C3C43">
          <w:rPr>
            <w:webHidden/>
          </w:rPr>
        </w:r>
        <w:r w:rsidR="007C3C43">
          <w:rPr>
            <w:webHidden/>
          </w:rPr>
          <w:fldChar w:fldCharType="separate"/>
        </w:r>
        <w:r w:rsidR="00554E0E">
          <w:rPr>
            <w:webHidden/>
          </w:rPr>
          <w:t>14</w:t>
        </w:r>
        <w:r w:rsidR="007C3C43">
          <w:rPr>
            <w:webHidden/>
          </w:rPr>
          <w:fldChar w:fldCharType="end"/>
        </w:r>
      </w:hyperlink>
    </w:p>
    <w:p w14:paraId="4222E281" w14:textId="77777777" w:rsidR="007C3C43" w:rsidRDefault="009967B3">
      <w:pPr>
        <w:pStyle w:val="TOC2"/>
        <w:rPr>
          <w:rFonts w:asciiTheme="minorHAnsi" w:eastAsiaTheme="minorEastAsia" w:hAnsiTheme="minorHAnsi" w:cstheme="minorBidi"/>
          <w:color w:val="auto"/>
          <w:szCs w:val="22"/>
          <w:lang w:eastAsia="en-AU"/>
        </w:rPr>
      </w:pPr>
      <w:hyperlink w:anchor="_Toc465089728" w:history="1">
        <w:r w:rsidR="007C3C43" w:rsidRPr="008D54EB">
          <w:rPr>
            <w:rStyle w:val="Hyperlink"/>
            <w:rFonts w:cstheme="minorHAnsi"/>
          </w:rPr>
          <w:t>ANNEX 4</w:t>
        </w:r>
        <w:r w:rsidR="007C3C43">
          <w:rPr>
            <w:webHidden/>
          </w:rPr>
          <w:tab/>
        </w:r>
        <w:r w:rsidR="007C3C43">
          <w:rPr>
            <w:webHidden/>
          </w:rPr>
          <w:fldChar w:fldCharType="begin"/>
        </w:r>
        <w:r w:rsidR="007C3C43">
          <w:rPr>
            <w:webHidden/>
          </w:rPr>
          <w:instrText xml:space="preserve"> PAGEREF _Toc465089728 \h </w:instrText>
        </w:r>
        <w:r w:rsidR="007C3C43">
          <w:rPr>
            <w:webHidden/>
          </w:rPr>
        </w:r>
        <w:r w:rsidR="007C3C43">
          <w:rPr>
            <w:webHidden/>
          </w:rPr>
          <w:fldChar w:fldCharType="separate"/>
        </w:r>
        <w:r w:rsidR="00554E0E">
          <w:rPr>
            <w:webHidden/>
          </w:rPr>
          <w:t>15</w:t>
        </w:r>
        <w:r w:rsidR="007C3C43">
          <w:rPr>
            <w:webHidden/>
          </w:rPr>
          <w:fldChar w:fldCharType="end"/>
        </w:r>
      </w:hyperlink>
    </w:p>
    <w:p w14:paraId="4F5845EE" w14:textId="77777777" w:rsidR="007C3C43" w:rsidRDefault="009967B3">
      <w:pPr>
        <w:pStyle w:val="TOC2"/>
        <w:rPr>
          <w:rFonts w:asciiTheme="minorHAnsi" w:eastAsiaTheme="minorEastAsia" w:hAnsiTheme="minorHAnsi" w:cstheme="minorBidi"/>
          <w:color w:val="auto"/>
          <w:szCs w:val="22"/>
          <w:lang w:eastAsia="en-AU"/>
        </w:rPr>
      </w:pPr>
      <w:hyperlink w:anchor="_Toc465089729" w:history="1">
        <w:r w:rsidR="007C3C43" w:rsidRPr="008D54EB">
          <w:rPr>
            <w:rStyle w:val="Hyperlink"/>
            <w:rFonts w:cstheme="minorHAnsi"/>
          </w:rPr>
          <w:t>QUICK REFERENCE GUIDE</w:t>
        </w:r>
        <w:r w:rsidR="007C3C43">
          <w:rPr>
            <w:webHidden/>
          </w:rPr>
          <w:tab/>
        </w:r>
        <w:r w:rsidR="007C3C43">
          <w:rPr>
            <w:webHidden/>
          </w:rPr>
          <w:fldChar w:fldCharType="begin"/>
        </w:r>
        <w:r w:rsidR="007C3C43">
          <w:rPr>
            <w:webHidden/>
          </w:rPr>
          <w:instrText xml:space="preserve"> PAGEREF _Toc465089729 \h </w:instrText>
        </w:r>
        <w:r w:rsidR="007C3C43">
          <w:rPr>
            <w:webHidden/>
          </w:rPr>
        </w:r>
        <w:r w:rsidR="007C3C43">
          <w:rPr>
            <w:webHidden/>
          </w:rPr>
          <w:fldChar w:fldCharType="separate"/>
        </w:r>
        <w:r w:rsidR="00554E0E">
          <w:rPr>
            <w:webHidden/>
          </w:rPr>
          <w:t>15</w:t>
        </w:r>
        <w:r w:rsidR="007C3C43">
          <w:rPr>
            <w:webHidden/>
          </w:rPr>
          <w:fldChar w:fldCharType="end"/>
        </w:r>
      </w:hyperlink>
    </w:p>
    <w:p w14:paraId="25273A81" w14:textId="77777777" w:rsidR="00533117" w:rsidRPr="00A92D3F" w:rsidRDefault="00533117" w:rsidP="00533117">
      <w:pPr>
        <w:rPr>
          <w:rFonts w:asciiTheme="minorHAnsi" w:hAnsiTheme="minorHAnsi" w:cstheme="minorHAnsi"/>
          <w:sz w:val="22"/>
          <w:szCs w:val="22"/>
        </w:rPr>
      </w:pPr>
      <w:r w:rsidRPr="00A92D3F">
        <w:rPr>
          <w:rFonts w:asciiTheme="minorHAnsi" w:hAnsiTheme="minorHAnsi" w:cstheme="minorHAnsi"/>
          <w:smallCaps/>
          <w:noProof/>
          <w:color w:val="46515B"/>
          <w:sz w:val="22"/>
          <w:szCs w:val="22"/>
        </w:rPr>
        <w:fldChar w:fldCharType="end"/>
      </w:r>
    </w:p>
    <w:p w14:paraId="6CFC3A7B" w14:textId="77777777" w:rsidR="00533117" w:rsidRPr="00A92D3F" w:rsidRDefault="00533117" w:rsidP="00533117">
      <w:pPr>
        <w:spacing w:after="0"/>
        <w:rPr>
          <w:rFonts w:asciiTheme="minorHAnsi" w:hAnsiTheme="minorHAnsi" w:cstheme="minorHAnsi"/>
          <w:sz w:val="22"/>
          <w:szCs w:val="22"/>
        </w:rPr>
      </w:pPr>
      <w:r w:rsidRPr="00A92D3F">
        <w:rPr>
          <w:rFonts w:asciiTheme="minorHAnsi" w:hAnsiTheme="minorHAnsi" w:cstheme="minorHAnsi"/>
          <w:sz w:val="22"/>
          <w:szCs w:val="22"/>
        </w:rPr>
        <w:br w:type="page"/>
      </w:r>
      <w:bookmarkStart w:id="3" w:name="_Toc241281366"/>
      <w:bookmarkStart w:id="4" w:name="_Toc243043342"/>
      <w:bookmarkStart w:id="5" w:name="_Toc130016648"/>
      <w:bookmarkStart w:id="6" w:name="_Toc130016705"/>
      <w:bookmarkStart w:id="7" w:name="_Toc130016750"/>
      <w:bookmarkStart w:id="8" w:name="_Toc130016836"/>
    </w:p>
    <w:p w14:paraId="235C75CC" w14:textId="77777777" w:rsidR="006B5F2A" w:rsidRPr="00A92D3F" w:rsidRDefault="006B5F2A" w:rsidP="00A94EE1">
      <w:pPr>
        <w:pStyle w:val="Heading1"/>
        <w:keepLines w:val="0"/>
        <w:numPr>
          <w:ilvl w:val="0"/>
          <w:numId w:val="11"/>
        </w:numPr>
        <w:pBdr>
          <w:bottom w:val="none" w:sz="0" w:space="0" w:color="auto"/>
        </w:pBdr>
        <w:tabs>
          <w:tab w:val="clear" w:pos="567"/>
        </w:tabs>
        <w:spacing w:before="0" w:after="240" w:afterAutospacing="0" w:line="240" w:lineRule="auto"/>
        <w:jc w:val="both"/>
        <w:rPr>
          <w:rFonts w:cstheme="minorHAnsi"/>
        </w:rPr>
      </w:pPr>
      <w:bookmarkStart w:id="9" w:name="_Toc398561828"/>
      <w:bookmarkStart w:id="10" w:name="_Toc465089708"/>
      <w:bookmarkEnd w:id="3"/>
      <w:bookmarkEnd w:id="4"/>
      <w:bookmarkEnd w:id="5"/>
      <w:bookmarkEnd w:id="6"/>
      <w:bookmarkEnd w:id="7"/>
      <w:bookmarkEnd w:id="8"/>
      <w:r w:rsidRPr="00A92D3F">
        <w:rPr>
          <w:rFonts w:cstheme="minorHAnsi"/>
        </w:rPr>
        <w:lastRenderedPageBreak/>
        <w:t>INTRODUCTION</w:t>
      </w:r>
      <w:bookmarkEnd w:id="9"/>
      <w:bookmarkEnd w:id="10"/>
    </w:p>
    <w:p w14:paraId="2AED4F85" w14:textId="77777777" w:rsidR="007E117F" w:rsidRDefault="006B5F2A" w:rsidP="00E4420B">
      <w:pPr>
        <w:rPr>
          <w:rFonts w:asciiTheme="minorHAnsi" w:hAnsiTheme="minorHAnsi" w:cstheme="minorHAnsi"/>
          <w:sz w:val="22"/>
          <w:szCs w:val="22"/>
        </w:rPr>
      </w:pPr>
      <w:r w:rsidRPr="004A671D">
        <w:rPr>
          <w:rFonts w:asciiTheme="minorHAnsi" w:hAnsiTheme="minorHAnsi" w:cstheme="minorHAnsi"/>
          <w:sz w:val="22"/>
          <w:szCs w:val="22"/>
        </w:rPr>
        <w:t xml:space="preserve">Transmissible Spongiform Encephalopathies (TSEs) are nationally notifiable diseases.  Australia is free from TSEs in animals, and is recognised as meeting World Organisation for Animal Health (OIE) requirements for a bovine spongiform encephalopathy (BSE) </w:t>
      </w:r>
      <w:r w:rsidRPr="004A671D">
        <w:rPr>
          <w:rFonts w:asciiTheme="minorHAnsi" w:hAnsiTheme="minorHAnsi" w:cstheme="minorHAnsi"/>
          <w:i/>
          <w:sz w:val="22"/>
          <w:szCs w:val="22"/>
        </w:rPr>
        <w:t>Negligible Risk</w:t>
      </w:r>
      <w:r w:rsidRPr="004A671D">
        <w:rPr>
          <w:rFonts w:asciiTheme="minorHAnsi" w:hAnsiTheme="minorHAnsi" w:cstheme="minorHAnsi"/>
          <w:sz w:val="22"/>
          <w:szCs w:val="22"/>
        </w:rPr>
        <w:t xml:space="preserve"> and scrapie free country. </w:t>
      </w:r>
    </w:p>
    <w:p w14:paraId="3C47FE28" w14:textId="27052FBD" w:rsidR="006B5F2A" w:rsidRPr="004A671D" w:rsidRDefault="006B5F2A" w:rsidP="00195F6D">
      <w:pPr>
        <w:rPr>
          <w:rFonts w:asciiTheme="minorHAnsi" w:hAnsiTheme="minorHAnsi" w:cstheme="minorHAnsi"/>
          <w:sz w:val="22"/>
          <w:szCs w:val="22"/>
        </w:rPr>
      </w:pPr>
      <w:r w:rsidRPr="004A671D">
        <w:rPr>
          <w:rFonts w:asciiTheme="minorHAnsi" w:hAnsiTheme="minorHAnsi" w:cstheme="minorHAnsi"/>
          <w:sz w:val="22"/>
          <w:szCs w:val="22"/>
        </w:rPr>
        <w:t xml:space="preserve">BSE has been detected in several countries, a current overview of which can be found on a World Organisation for Animal Health webpage at </w:t>
      </w:r>
      <w:hyperlink r:id="rId14" w:history="1">
        <w:r w:rsidRPr="004A671D">
          <w:rPr>
            <w:rStyle w:val="Hyperlink"/>
            <w:rFonts w:asciiTheme="minorHAnsi" w:hAnsiTheme="minorHAnsi" w:cstheme="minorHAnsi"/>
            <w:sz w:val="22"/>
            <w:szCs w:val="22"/>
          </w:rPr>
          <w:t>http://www.oie.int/animal-health-in-the-world/bse-specific-data/</w:t>
        </w:r>
      </w:hyperlink>
      <w:r w:rsidR="00195F6D">
        <w:t xml:space="preserve">. </w:t>
      </w:r>
      <w:r w:rsidRPr="004A671D">
        <w:rPr>
          <w:rFonts w:asciiTheme="minorHAnsi" w:hAnsiTheme="minorHAnsi" w:cstheme="minorHAnsi"/>
          <w:sz w:val="22"/>
          <w:szCs w:val="22"/>
        </w:rPr>
        <w:t xml:space="preserve">Scrapie occurs in ovine and caprine species in many countries, and Chronic Wasting Disease (CWD) has been diagnosed in cervids across North America. </w:t>
      </w:r>
    </w:p>
    <w:p w14:paraId="1F958477" w14:textId="77777777" w:rsidR="007E117F" w:rsidRDefault="007E117F" w:rsidP="00E4420B">
      <w:pPr>
        <w:rPr>
          <w:rFonts w:asciiTheme="minorHAnsi" w:hAnsiTheme="minorHAnsi" w:cstheme="minorHAnsi"/>
          <w:sz w:val="22"/>
          <w:szCs w:val="22"/>
        </w:rPr>
      </w:pPr>
      <w:r w:rsidRPr="004A671D">
        <w:rPr>
          <w:rFonts w:asciiTheme="minorHAnsi" w:hAnsiTheme="minorHAnsi" w:cstheme="minorHAnsi"/>
          <w:sz w:val="22"/>
          <w:szCs w:val="22"/>
        </w:rPr>
        <w:t xml:space="preserve">Live animals were imported into Australia from Japan, European Union Member States including the United Kingdom, Canada and USA before BSE was detected in these countries. </w:t>
      </w:r>
    </w:p>
    <w:p w14:paraId="30EE23EB" w14:textId="7BD48D7D" w:rsidR="006B5F2A" w:rsidRPr="004A671D" w:rsidRDefault="006B5F2A" w:rsidP="00E4420B">
      <w:pPr>
        <w:rPr>
          <w:rFonts w:asciiTheme="minorHAnsi" w:hAnsiTheme="minorHAnsi" w:cstheme="minorHAnsi"/>
          <w:sz w:val="22"/>
          <w:szCs w:val="22"/>
        </w:rPr>
      </w:pPr>
      <w:r w:rsidRPr="004A671D">
        <w:rPr>
          <w:rFonts w:asciiTheme="minorHAnsi" w:hAnsiTheme="minorHAnsi" w:cstheme="minorHAnsi"/>
          <w:sz w:val="22"/>
          <w:szCs w:val="22"/>
        </w:rPr>
        <w:t>Australia operates a nationally integrated program of active surveillance for TSEs, known as the National TSE Surveillance Program (NTSESP)</w:t>
      </w:r>
      <w:r w:rsidR="006E0D84">
        <w:rPr>
          <w:rFonts w:asciiTheme="minorHAnsi" w:hAnsiTheme="minorHAnsi" w:cstheme="minorHAnsi"/>
          <w:sz w:val="22"/>
          <w:szCs w:val="22"/>
        </w:rPr>
        <w:t>. This is</w:t>
      </w:r>
      <w:r w:rsidRPr="004A671D">
        <w:rPr>
          <w:rFonts w:asciiTheme="minorHAnsi" w:hAnsiTheme="minorHAnsi" w:cstheme="minorHAnsi"/>
          <w:sz w:val="22"/>
          <w:szCs w:val="22"/>
        </w:rPr>
        <w:t xml:space="preserve"> funded by industry and governments to demonstrate Australia’s on-going freedom from BSE and scrapie</w:t>
      </w:r>
      <w:r w:rsidR="006E0D84">
        <w:rPr>
          <w:rFonts w:asciiTheme="minorHAnsi" w:hAnsiTheme="minorHAnsi" w:cstheme="minorHAnsi"/>
          <w:sz w:val="22"/>
          <w:szCs w:val="22"/>
        </w:rPr>
        <w:t xml:space="preserve"> in domestic ruminants</w:t>
      </w:r>
      <w:r w:rsidRPr="004A671D">
        <w:rPr>
          <w:rFonts w:asciiTheme="minorHAnsi" w:hAnsiTheme="minorHAnsi" w:cstheme="minorHAnsi"/>
          <w:sz w:val="22"/>
          <w:szCs w:val="22"/>
        </w:rPr>
        <w:t xml:space="preserve"> and to provide early detection of these diseases if they occur.  The objective of the NTSESP is to support trade by maintaining a surveillance system which is consistent with the OIE Terrestrial Animal Health Code, and to assure all importing countries that Australia remains free of BSE and scrapie.</w:t>
      </w:r>
    </w:p>
    <w:p w14:paraId="3AE4AA9D" w14:textId="77777777" w:rsidR="006B5F2A" w:rsidRPr="004A671D" w:rsidRDefault="006B5F2A" w:rsidP="00E4420B">
      <w:pPr>
        <w:rPr>
          <w:rFonts w:asciiTheme="minorHAnsi" w:hAnsiTheme="minorHAnsi" w:cstheme="minorHAnsi"/>
          <w:sz w:val="22"/>
          <w:szCs w:val="22"/>
        </w:rPr>
      </w:pPr>
      <w:r w:rsidRPr="004A671D">
        <w:rPr>
          <w:rFonts w:asciiTheme="minorHAnsi" w:hAnsiTheme="minorHAnsi" w:cstheme="minorHAnsi"/>
          <w:sz w:val="22"/>
          <w:szCs w:val="22"/>
        </w:rPr>
        <w:t>The diagnosis of spongiform encephalopathy in an imported Golden Cat that died at Melbourne Zoo (2002) demonstrated that TSE surveillance needed to be extended to certain imported zoo animals.  In addition a nationally uniform approach to the management of these zoo animals is appropriate.</w:t>
      </w:r>
    </w:p>
    <w:p w14:paraId="7172245F" w14:textId="2444EC86" w:rsidR="006B5F2A" w:rsidRPr="004A671D" w:rsidRDefault="006B5F2A" w:rsidP="00E4420B">
      <w:pPr>
        <w:rPr>
          <w:rFonts w:asciiTheme="minorHAnsi" w:hAnsiTheme="minorHAnsi" w:cstheme="minorHAnsi"/>
          <w:sz w:val="22"/>
          <w:szCs w:val="22"/>
        </w:rPr>
      </w:pPr>
      <w:r w:rsidRPr="004A671D">
        <w:rPr>
          <w:rFonts w:asciiTheme="minorHAnsi" w:hAnsiTheme="minorHAnsi" w:cstheme="minorHAnsi"/>
          <w:sz w:val="22"/>
          <w:szCs w:val="22"/>
        </w:rPr>
        <w:t xml:space="preserve">This </w:t>
      </w:r>
      <w:r w:rsidR="006E0D84">
        <w:rPr>
          <w:rFonts w:asciiTheme="minorHAnsi" w:hAnsiTheme="minorHAnsi" w:cstheme="minorHAnsi"/>
          <w:sz w:val="22"/>
          <w:szCs w:val="22"/>
        </w:rPr>
        <w:t>p</w:t>
      </w:r>
      <w:r w:rsidRPr="004A671D">
        <w:rPr>
          <w:rFonts w:asciiTheme="minorHAnsi" w:hAnsiTheme="minorHAnsi" w:cstheme="minorHAnsi"/>
          <w:sz w:val="22"/>
          <w:szCs w:val="22"/>
        </w:rPr>
        <w:t>rotocol documents a national approach to management of risk-animals and the response to a positive TSE diagnosis in designated animals within the Australian zoo population. The first version was prepared by an Animal Health Committee Working Group in July 2003.</w:t>
      </w:r>
    </w:p>
    <w:p w14:paraId="42EA3A76" w14:textId="77777777" w:rsidR="006B5F2A" w:rsidRPr="00A92D3F" w:rsidRDefault="006B5F2A" w:rsidP="006B5F2A">
      <w:pPr>
        <w:rPr>
          <w:rFonts w:asciiTheme="minorHAnsi" w:hAnsiTheme="minorHAnsi" w:cstheme="minorHAnsi"/>
        </w:rPr>
      </w:pPr>
    </w:p>
    <w:p w14:paraId="2ED194B7" w14:textId="77777777" w:rsidR="006B5F2A" w:rsidRPr="00A92D3F" w:rsidRDefault="006B5F2A" w:rsidP="00A94EE1">
      <w:pPr>
        <w:pStyle w:val="Heading1"/>
        <w:keepLines w:val="0"/>
        <w:numPr>
          <w:ilvl w:val="0"/>
          <w:numId w:val="11"/>
        </w:numPr>
        <w:pBdr>
          <w:bottom w:val="none" w:sz="0" w:space="0" w:color="auto"/>
        </w:pBdr>
        <w:tabs>
          <w:tab w:val="clear" w:pos="567"/>
        </w:tabs>
        <w:spacing w:before="0" w:after="240" w:afterAutospacing="0" w:line="240" w:lineRule="auto"/>
        <w:jc w:val="both"/>
        <w:rPr>
          <w:rFonts w:cstheme="minorHAnsi"/>
        </w:rPr>
      </w:pPr>
      <w:r w:rsidRPr="00A92D3F">
        <w:rPr>
          <w:rFonts w:cstheme="minorHAnsi"/>
        </w:rPr>
        <w:br w:type="page"/>
      </w:r>
      <w:bookmarkStart w:id="11" w:name="_Toc398561829"/>
      <w:bookmarkStart w:id="12" w:name="_Toc465089709"/>
      <w:r w:rsidRPr="00A92D3F">
        <w:rPr>
          <w:rFonts w:cstheme="minorHAnsi"/>
        </w:rPr>
        <w:lastRenderedPageBreak/>
        <w:t>ANIMALS OF INTEREST</w:t>
      </w:r>
      <w:bookmarkEnd w:id="11"/>
      <w:bookmarkEnd w:id="12"/>
      <w:r w:rsidRPr="00A92D3F">
        <w:rPr>
          <w:rFonts w:cstheme="minorHAnsi"/>
        </w:rPr>
        <w:t xml:space="preserve"> </w:t>
      </w:r>
    </w:p>
    <w:p w14:paraId="3942EDC6"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 xml:space="preserve">This protocol applies to the following animals, hereinafter referred to as "designated zoo animals" that meet the following definition: </w:t>
      </w:r>
    </w:p>
    <w:p w14:paraId="57A88EBC"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 xml:space="preserve">A designated zoo animal is a mammal, meeting the following definition, living within a registered zoo or wildlife park in Australia. </w:t>
      </w:r>
    </w:p>
    <w:p w14:paraId="787898E9" w14:textId="77777777" w:rsidR="006B5F2A" w:rsidRPr="004A671D" w:rsidRDefault="006B5F2A" w:rsidP="006B5F2A">
      <w:pPr>
        <w:ind w:left="720"/>
        <w:rPr>
          <w:rFonts w:asciiTheme="minorHAnsi" w:hAnsiTheme="minorHAnsi" w:cstheme="minorHAnsi"/>
          <w:sz w:val="22"/>
          <w:szCs w:val="22"/>
          <w:u w:val="single"/>
        </w:rPr>
      </w:pPr>
      <w:r w:rsidRPr="004A671D">
        <w:rPr>
          <w:rFonts w:asciiTheme="minorHAnsi" w:hAnsiTheme="minorHAnsi" w:cstheme="minorHAnsi"/>
          <w:sz w:val="22"/>
          <w:szCs w:val="22"/>
          <w:u w:val="single"/>
        </w:rPr>
        <w:t>1.1 BSE</w:t>
      </w:r>
    </w:p>
    <w:p w14:paraId="458F21F3"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 xml:space="preserve">a) All felidae, bovidae and primates having lived any part of their life in a country not listed as having a negligible or controlled BSE status by the OIE (see </w:t>
      </w:r>
      <w:hyperlink r:id="rId15" w:history="1">
        <w:r w:rsidRPr="004A671D">
          <w:rPr>
            <w:rStyle w:val="Hyperlink"/>
            <w:rFonts w:asciiTheme="minorHAnsi" w:hAnsiTheme="minorHAnsi" w:cstheme="minorHAnsi"/>
            <w:sz w:val="22"/>
            <w:szCs w:val="22"/>
          </w:rPr>
          <w:t>http://www.oie.int/?id=495</w:t>
        </w:r>
      </w:hyperlink>
      <w:r w:rsidRPr="004A671D">
        <w:rPr>
          <w:rFonts w:asciiTheme="minorHAnsi" w:hAnsiTheme="minorHAnsi" w:cstheme="minorHAnsi"/>
          <w:sz w:val="22"/>
          <w:szCs w:val="22"/>
        </w:rPr>
        <w:t xml:space="preserve">) </w:t>
      </w:r>
      <w:r w:rsidRPr="004A671D">
        <w:rPr>
          <w:rFonts w:asciiTheme="minorHAnsi" w:hAnsiTheme="minorHAnsi" w:cstheme="minorHAnsi"/>
          <w:b/>
          <w:sz w:val="22"/>
          <w:szCs w:val="22"/>
        </w:rPr>
        <w:t>and</w:t>
      </w:r>
      <w:r w:rsidRPr="004A671D">
        <w:rPr>
          <w:rFonts w:asciiTheme="minorHAnsi" w:hAnsiTheme="minorHAnsi" w:cstheme="minorHAnsi"/>
          <w:sz w:val="22"/>
          <w:szCs w:val="22"/>
        </w:rPr>
        <w:t xml:space="preserve"> having spent less than 15 years continuously in Australia following their most recent arrival</w:t>
      </w:r>
    </w:p>
    <w:p w14:paraId="1F163222"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OR</w:t>
      </w:r>
    </w:p>
    <w:p w14:paraId="318E0770"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 xml:space="preserve">b) All felidae, bovidae and primates having spent less than 15 years continuously in Australia following their most recent arrival and having lived in the following countries before 2001: Austria, Belgium, Canada, the Czech Republic, Denmark, Finland, France, Germany, Greece, Ireland, Israel, Italy, Japan, Liechtenstein, Luxembourg, the Netherlands, Poland, Portugal, Slovakia, Slovenia, Spain, Switzerland and the UK, or any other country listed as having the OIE controlled BSE status (see </w:t>
      </w:r>
      <w:hyperlink r:id="rId16" w:history="1">
        <w:r w:rsidRPr="004A671D">
          <w:rPr>
            <w:rStyle w:val="Hyperlink"/>
            <w:rFonts w:asciiTheme="minorHAnsi" w:hAnsiTheme="minorHAnsi" w:cstheme="minorHAnsi"/>
            <w:sz w:val="22"/>
            <w:szCs w:val="22"/>
          </w:rPr>
          <w:t>http://www.oie.int/?id=495</w:t>
        </w:r>
      </w:hyperlink>
      <w:r w:rsidRPr="004A671D">
        <w:rPr>
          <w:rFonts w:asciiTheme="minorHAnsi" w:hAnsiTheme="minorHAnsi" w:cstheme="minorHAnsi"/>
          <w:sz w:val="22"/>
          <w:szCs w:val="22"/>
        </w:rPr>
        <w:t xml:space="preserve">). </w:t>
      </w:r>
    </w:p>
    <w:p w14:paraId="30C0194C"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u w:val="single"/>
        </w:rPr>
        <w:t>1.2 Chronic Wasting Disease</w:t>
      </w:r>
      <w:r w:rsidRPr="004A671D">
        <w:rPr>
          <w:rFonts w:asciiTheme="minorHAnsi" w:hAnsiTheme="minorHAnsi" w:cstheme="minorHAnsi"/>
          <w:sz w:val="22"/>
          <w:szCs w:val="22"/>
        </w:rPr>
        <w:t xml:space="preserve"> (CWD)</w:t>
      </w:r>
    </w:p>
    <w:p w14:paraId="549748A2"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All cervidae having spent any portion of their life in USA and Canada, or any other country in which CWD has been reported.</w:t>
      </w:r>
    </w:p>
    <w:p w14:paraId="4ACA4864" w14:textId="77777777" w:rsidR="006B5F2A" w:rsidRPr="004A671D" w:rsidRDefault="006B5F2A" w:rsidP="006B5F2A">
      <w:pPr>
        <w:ind w:left="720"/>
        <w:rPr>
          <w:rFonts w:asciiTheme="minorHAnsi" w:hAnsiTheme="minorHAnsi" w:cstheme="minorHAnsi"/>
          <w:sz w:val="22"/>
          <w:szCs w:val="22"/>
          <w:u w:val="single"/>
        </w:rPr>
      </w:pPr>
      <w:r w:rsidRPr="004A671D">
        <w:rPr>
          <w:rFonts w:asciiTheme="minorHAnsi" w:hAnsiTheme="minorHAnsi" w:cstheme="minorHAnsi"/>
          <w:sz w:val="22"/>
          <w:szCs w:val="22"/>
          <w:u w:val="single"/>
        </w:rPr>
        <w:t>1.3 Scrapie</w:t>
      </w:r>
    </w:p>
    <w:p w14:paraId="4D48007D"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All members of the genera Ovis and Capra, imported from any country except New Zealand.</w:t>
      </w:r>
    </w:p>
    <w:p w14:paraId="5E47A548"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 xml:space="preserve">Note: </w:t>
      </w:r>
    </w:p>
    <w:p w14:paraId="7D9CAE3E"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1) TSEs should be a differential diagnosis for any susceptible species showing indicative clinical signs, regardless of being imported or not, and relevant sampling should be undertaken.</w:t>
      </w:r>
    </w:p>
    <w:p w14:paraId="7ED580B9" w14:textId="03328AC1"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 xml:space="preserve">2) It is recommended that managers of private animal collections, which are not registered zoos or wildlife parks, should also follow the guidelines that are contained in this </w:t>
      </w:r>
      <w:r w:rsidR="006E0D84">
        <w:rPr>
          <w:rFonts w:asciiTheme="minorHAnsi" w:hAnsiTheme="minorHAnsi" w:cstheme="minorHAnsi"/>
          <w:sz w:val="22"/>
          <w:szCs w:val="22"/>
        </w:rPr>
        <w:t>p</w:t>
      </w:r>
      <w:r w:rsidRPr="004A671D">
        <w:rPr>
          <w:rFonts w:asciiTheme="minorHAnsi" w:hAnsiTheme="minorHAnsi" w:cstheme="minorHAnsi"/>
          <w:sz w:val="22"/>
          <w:szCs w:val="22"/>
        </w:rPr>
        <w:t>rotocol.</w:t>
      </w:r>
    </w:p>
    <w:p w14:paraId="5FB83151" w14:textId="77777777" w:rsidR="006B5F2A" w:rsidRPr="00A92D3F" w:rsidRDefault="006B5F2A" w:rsidP="00A94EE1">
      <w:pPr>
        <w:pStyle w:val="Heading1"/>
        <w:keepLines w:val="0"/>
        <w:numPr>
          <w:ilvl w:val="0"/>
          <w:numId w:val="11"/>
        </w:numPr>
        <w:pBdr>
          <w:bottom w:val="none" w:sz="0" w:space="0" w:color="auto"/>
        </w:pBdr>
        <w:tabs>
          <w:tab w:val="clear" w:pos="567"/>
        </w:tabs>
        <w:spacing w:before="0" w:after="240" w:afterAutospacing="0" w:line="240" w:lineRule="auto"/>
        <w:jc w:val="both"/>
        <w:rPr>
          <w:rFonts w:cstheme="minorHAnsi"/>
        </w:rPr>
      </w:pPr>
      <w:r w:rsidRPr="00A92D3F">
        <w:rPr>
          <w:rFonts w:cstheme="minorHAnsi"/>
        </w:rPr>
        <w:br w:type="page"/>
      </w:r>
      <w:bookmarkStart w:id="13" w:name="_Toc398561830"/>
      <w:bookmarkStart w:id="14" w:name="_Toc465089710"/>
      <w:r w:rsidRPr="00A92D3F">
        <w:rPr>
          <w:rFonts w:cstheme="minorHAnsi"/>
        </w:rPr>
        <w:lastRenderedPageBreak/>
        <w:t>MANAGEMENT OF DESIGNATED ZOO ANIMALS</w:t>
      </w:r>
      <w:bookmarkEnd w:id="13"/>
      <w:bookmarkEnd w:id="14"/>
    </w:p>
    <w:p w14:paraId="3848D0DC"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With the exception of scrapie and CWD, TSEs affecting zoo animals are not contagious, and provided affected animals are kept out of the human and animal food chain, there is negligible risk of spread to in-contact animals and cohorts, or contamination of the environment.  Specific management measures are not required for progeny or in-contact animals, or animal enclosures.  Management of designated zoo animals while they are alive involves minimal special procedures, with the main focus being applied to diagnostic and disposal measures when such animals die or are euthanized.</w:t>
      </w:r>
    </w:p>
    <w:p w14:paraId="5C8158FE" w14:textId="77777777" w:rsidR="006B5F2A" w:rsidRPr="00A92D3F" w:rsidRDefault="006B5F2A" w:rsidP="00A94EE1">
      <w:pPr>
        <w:pStyle w:val="Heading2"/>
        <w:numPr>
          <w:ilvl w:val="1"/>
          <w:numId w:val="11"/>
        </w:numPr>
        <w:spacing w:before="0"/>
        <w:rPr>
          <w:rFonts w:cstheme="minorHAnsi"/>
        </w:rPr>
      </w:pPr>
      <w:bookmarkStart w:id="15" w:name="_Toc398561831"/>
      <w:bookmarkStart w:id="16" w:name="_Toc465089711"/>
      <w:r w:rsidRPr="00A92D3F">
        <w:rPr>
          <w:rFonts w:cstheme="minorHAnsi"/>
        </w:rPr>
        <w:t>Surgery</w:t>
      </w:r>
      <w:bookmarkEnd w:id="15"/>
      <w:bookmarkEnd w:id="16"/>
      <w:r w:rsidRPr="00A92D3F">
        <w:rPr>
          <w:rFonts w:cstheme="minorHAnsi"/>
        </w:rPr>
        <w:t xml:space="preserve"> </w:t>
      </w:r>
    </w:p>
    <w:p w14:paraId="693FF6A4"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Normal standards of aseptic surgical practice and associated Work Health &amp; Safety (WH&amp;S) procedures are adequate to address the negligible risks associated with the conduct of surgical procedures on designated zoo animals.</w:t>
      </w:r>
    </w:p>
    <w:p w14:paraId="55E5E0C5" w14:textId="77777777" w:rsidR="006B5F2A" w:rsidRPr="00A92D3F" w:rsidRDefault="006B5F2A" w:rsidP="00A94EE1">
      <w:pPr>
        <w:pStyle w:val="Heading2"/>
        <w:numPr>
          <w:ilvl w:val="1"/>
          <w:numId w:val="11"/>
        </w:numPr>
        <w:spacing w:before="0"/>
        <w:rPr>
          <w:rFonts w:cstheme="minorHAnsi"/>
        </w:rPr>
      </w:pPr>
      <w:bookmarkStart w:id="17" w:name="_Toc398561832"/>
      <w:bookmarkStart w:id="18" w:name="_Toc465089712"/>
      <w:r w:rsidRPr="00A92D3F">
        <w:rPr>
          <w:rFonts w:cstheme="minorHAnsi"/>
        </w:rPr>
        <w:t>Collection and examination of blood and tissue samples</w:t>
      </w:r>
      <w:bookmarkEnd w:id="17"/>
      <w:bookmarkEnd w:id="18"/>
    </w:p>
    <w:p w14:paraId="6EECD4AF"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Contemporary standards of operation of pathology laboratories satisfactorily address the very low risk associated with diagnostic examination of blood and tissue samples.</w:t>
      </w:r>
    </w:p>
    <w:p w14:paraId="0EA825BA"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No intervention above normal practice is required.  Blood and tissue samples should only be forwarded to laboratories operating to contemporary standards and with waste disposal arrangements meeting regulatory requirements for medical waste.</w:t>
      </w:r>
    </w:p>
    <w:p w14:paraId="63BC16A0" w14:textId="77777777" w:rsidR="006B5F2A" w:rsidRPr="00A92D3F" w:rsidRDefault="006B5F2A" w:rsidP="00A94EE1">
      <w:pPr>
        <w:pStyle w:val="Heading2"/>
        <w:numPr>
          <w:ilvl w:val="1"/>
          <w:numId w:val="11"/>
        </w:numPr>
        <w:spacing w:before="0"/>
        <w:rPr>
          <w:rFonts w:cstheme="minorHAnsi"/>
        </w:rPr>
      </w:pPr>
      <w:bookmarkStart w:id="19" w:name="_Toc398561833"/>
      <w:bookmarkStart w:id="20" w:name="_Toc465089713"/>
      <w:r w:rsidRPr="00A92D3F">
        <w:rPr>
          <w:rFonts w:cstheme="minorHAnsi"/>
        </w:rPr>
        <w:t>Storage of tissue samples</w:t>
      </w:r>
      <w:bookmarkEnd w:id="19"/>
      <w:bookmarkEnd w:id="20"/>
    </w:p>
    <w:p w14:paraId="41BCF1F5"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It is common practice for zoos to store a range of blood and tissue samples including semen, blood cell masses, reproductive material, formalin-fixed and fresh-frozen tissues and other material.</w:t>
      </w:r>
    </w:p>
    <w:p w14:paraId="089B2B2F"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This material needs no special handling, storage or treatment in the case of designated zoo animals, although correlation and identification of stored samples from the donor animal should be routinely undertaken.</w:t>
      </w:r>
    </w:p>
    <w:p w14:paraId="43D4621F" w14:textId="77777777" w:rsidR="006B5F2A" w:rsidRPr="004A671D" w:rsidRDefault="006B5F2A" w:rsidP="006B5F2A">
      <w:pPr>
        <w:tabs>
          <w:tab w:val="num" w:pos="851"/>
        </w:tabs>
        <w:ind w:left="567"/>
        <w:rPr>
          <w:rFonts w:asciiTheme="minorHAnsi" w:hAnsiTheme="minorHAnsi" w:cstheme="minorHAnsi"/>
          <w:sz w:val="22"/>
          <w:szCs w:val="22"/>
        </w:rPr>
      </w:pPr>
      <w:r w:rsidRPr="004A671D">
        <w:rPr>
          <w:rFonts w:asciiTheme="minorHAnsi" w:hAnsiTheme="minorHAnsi" w:cstheme="minorHAnsi"/>
          <w:sz w:val="22"/>
          <w:szCs w:val="22"/>
        </w:rPr>
        <w:t xml:space="preserve">Should a case of TSE be diagnosed in a designated zoo animal, refer to section 4.3 for requirements for storage of tissue samples. </w:t>
      </w:r>
    </w:p>
    <w:p w14:paraId="45C51401" w14:textId="77777777" w:rsidR="006B5F2A" w:rsidRPr="00A92D3F" w:rsidRDefault="006B5F2A" w:rsidP="00A94EE1">
      <w:pPr>
        <w:pStyle w:val="Heading2"/>
        <w:numPr>
          <w:ilvl w:val="1"/>
          <w:numId w:val="11"/>
        </w:numPr>
        <w:spacing w:before="0"/>
        <w:rPr>
          <w:rFonts w:cstheme="minorHAnsi"/>
        </w:rPr>
      </w:pPr>
      <w:bookmarkStart w:id="21" w:name="_Toc398561834"/>
      <w:bookmarkStart w:id="22" w:name="_Toc465089714"/>
      <w:r w:rsidRPr="00A92D3F">
        <w:rPr>
          <w:rFonts w:cstheme="minorHAnsi"/>
        </w:rPr>
        <w:t>Bite and needle stick type injuries associated with handling of designated zoo animals</w:t>
      </w:r>
      <w:bookmarkEnd w:id="21"/>
      <w:bookmarkEnd w:id="22"/>
    </w:p>
    <w:p w14:paraId="349D54EA"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There is no evidence that personnel handling designated zoo animals are at any increased risk with respect to personal health and safety.</w:t>
      </w:r>
    </w:p>
    <w:p w14:paraId="12CF53BA"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Normal first aid and related WH&amp;S procedures should be applied.</w:t>
      </w:r>
    </w:p>
    <w:p w14:paraId="36CBBB52" w14:textId="77777777" w:rsidR="006B5F2A" w:rsidRPr="00A92D3F" w:rsidRDefault="006B5F2A" w:rsidP="00A94EE1">
      <w:pPr>
        <w:pStyle w:val="Heading2"/>
        <w:numPr>
          <w:ilvl w:val="1"/>
          <w:numId w:val="11"/>
        </w:numPr>
        <w:spacing w:before="0"/>
        <w:rPr>
          <w:rFonts w:cstheme="minorHAnsi"/>
        </w:rPr>
      </w:pPr>
      <w:bookmarkStart w:id="23" w:name="_Toc398561835"/>
      <w:bookmarkStart w:id="24" w:name="_Toc465089715"/>
      <w:r w:rsidRPr="00A92D3F">
        <w:rPr>
          <w:rFonts w:cstheme="minorHAnsi"/>
        </w:rPr>
        <w:t>Post-mortem examination of, and the collection and submission of samples from, designated zoo animals</w:t>
      </w:r>
      <w:bookmarkEnd w:id="23"/>
      <w:bookmarkEnd w:id="24"/>
    </w:p>
    <w:p w14:paraId="40DE0DD5"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As a general principle, all designated zoo animals should receive a complete post mortem examination irrespective of the clinical presentation of the animal prior to death.</w:t>
      </w:r>
    </w:p>
    <w:p w14:paraId="21C58470"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Designated zoo animals that have died or been euthanized constitute eligible cases for inclusion in the National TSE Surveillance Program (NTSESP).  Accordingly, post mortem examination for evidence of TSEs is required in each case</w:t>
      </w:r>
      <w:r w:rsidRPr="004A671D">
        <w:rPr>
          <w:rStyle w:val="FootnoteReference"/>
          <w:rFonts w:asciiTheme="minorHAnsi" w:hAnsiTheme="minorHAnsi" w:cstheme="minorHAnsi"/>
          <w:sz w:val="22"/>
          <w:szCs w:val="22"/>
        </w:rPr>
        <w:footnoteReference w:id="1"/>
      </w:r>
      <w:r w:rsidRPr="004A671D">
        <w:rPr>
          <w:rFonts w:asciiTheme="minorHAnsi" w:hAnsiTheme="minorHAnsi" w:cstheme="minorHAnsi"/>
          <w:sz w:val="22"/>
          <w:szCs w:val="22"/>
        </w:rPr>
        <w:t xml:space="preserve">.  This will also provide information of scientific interest and provide useful cases for diagnostic practice.  To facilitate this, it is recommended that zoo animal records and inventories be marked “Designated zoo animal – necropsy and laboratory testing of samples for TSE on death or euthanasia”. </w:t>
      </w:r>
    </w:p>
    <w:p w14:paraId="31769148" w14:textId="77777777" w:rsidR="006B5F2A" w:rsidRPr="004A671D" w:rsidRDefault="006B5F2A" w:rsidP="00E872E0">
      <w:pPr>
        <w:pStyle w:val="BodyText2"/>
        <w:spacing w:after="240" w:line="240" w:lineRule="auto"/>
        <w:ind w:left="576"/>
        <w:rPr>
          <w:rFonts w:asciiTheme="minorHAnsi" w:hAnsiTheme="minorHAnsi" w:cstheme="minorHAnsi"/>
          <w:sz w:val="22"/>
          <w:szCs w:val="22"/>
        </w:rPr>
      </w:pPr>
      <w:r w:rsidRPr="004A671D">
        <w:rPr>
          <w:rFonts w:asciiTheme="minorHAnsi" w:hAnsiTheme="minorHAnsi" w:cstheme="minorHAnsi"/>
          <w:sz w:val="22"/>
          <w:szCs w:val="22"/>
        </w:rPr>
        <w:t>Annex 1 details guidelines for performing post</w:t>
      </w:r>
      <w:r w:rsidR="00A92D3F" w:rsidRPr="004A671D">
        <w:rPr>
          <w:rFonts w:asciiTheme="minorHAnsi" w:hAnsiTheme="minorHAnsi" w:cstheme="minorHAnsi"/>
          <w:sz w:val="22"/>
          <w:szCs w:val="22"/>
        </w:rPr>
        <w:t xml:space="preserve"> mortem examinations and sample </w:t>
      </w:r>
      <w:r w:rsidRPr="004A671D">
        <w:rPr>
          <w:rFonts w:asciiTheme="minorHAnsi" w:hAnsiTheme="minorHAnsi" w:cstheme="minorHAnsi"/>
          <w:sz w:val="22"/>
          <w:szCs w:val="22"/>
        </w:rPr>
        <w:t>collections from designated zoo animals for the purpose of TSE exclusion.</w:t>
      </w:r>
    </w:p>
    <w:p w14:paraId="2CB053C5" w14:textId="77777777" w:rsidR="006B5F2A" w:rsidRPr="004A671D" w:rsidRDefault="00A92D3F" w:rsidP="00A92D3F">
      <w:pPr>
        <w:tabs>
          <w:tab w:val="num" w:pos="851"/>
        </w:tabs>
        <w:rPr>
          <w:rFonts w:asciiTheme="minorHAnsi" w:hAnsiTheme="minorHAnsi" w:cstheme="minorHAnsi"/>
          <w:sz w:val="22"/>
          <w:szCs w:val="22"/>
        </w:rPr>
      </w:pPr>
      <w:r w:rsidRPr="004A671D">
        <w:rPr>
          <w:rFonts w:asciiTheme="minorHAnsi" w:hAnsiTheme="minorHAnsi" w:cstheme="minorHAnsi"/>
          <w:noProof/>
          <w:sz w:val="22"/>
          <w:szCs w:val="22"/>
          <w:lang w:eastAsia="en-AU"/>
        </w:rPr>
        <mc:AlternateContent>
          <mc:Choice Requires="wps">
            <w:drawing>
              <wp:anchor distT="0" distB="0" distL="114300" distR="114300" simplePos="0" relativeHeight="251672064" behindDoc="0" locked="0" layoutInCell="1" allowOverlap="1" wp14:anchorId="349AC427" wp14:editId="3063D47A">
                <wp:simplePos x="0" y="0"/>
                <wp:positionH relativeFrom="column">
                  <wp:posOffset>261619</wp:posOffset>
                </wp:positionH>
                <wp:positionV relativeFrom="paragraph">
                  <wp:posOffset>123825</wp:posOffset>
                </wp:positionV>
                <wp:extent cx="5076825" cy="1352550"/>
                <wp:effectExtent l="0" t="0" r="28575"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352550"/>
                        </a:xfrm>
                        <a:prstGeom prst="rect">
                          <a:avLst/>
                        </a:prstGeom>
                        <a:solidFill>
                          <a:srgbClr val="FFFFFF"/>
                        </a:solidFill>
                        <a:ln w="9525">
                          <a:solidFill>
                            <a:srgbClr val="000000"/>
                          </a:solidFill>
                          <a:miter lim="800000"/>
                          <a:headEnd/>
                          <a:tailEnd/>
                        </a:ln>
                      </wps:spPr>
                      <wps:txbx>
                        <w:txbxContent>
                          <w:p w14:paraId="7EBC1964" w14:textId="3C1BAB32" w:rsidR="006B5F2A" w:rsidRPr="00B87637" w:rsidRDefault="006B5F2A" w:rsidP="006B5F2A">
                            <w:pPr>
                              <w:tabs>
                                <w:tab w:val="num" w:pos="851"/>
                              </w:tabs>
                              <w:rPr>
                                <w:rFonts w:asciiTheme="minorHAnsi" w:hAnsiTheme="minorHAnsi" w:cstheme="minorHAnsi"/>
                                <w:sz w:val="22"/>
                                <w:szCs w:val="22"/>
                              </w:rPr>
                            </w:pPr>
                            <w:r w:rsidRPr="00B87637">
                              <w:rPr>
                                <w:rFonts w:asciiTheme="minorHAnsi" w:hAnsiTheme="minorHAnsi" w:cstheme="minorHAnsi"/>
                                <w:sz w:val="22"/>
                                <w:szCs w:val="22"/>
                              </w:rPr>
                              <w:t xml:space="preserve">The State/Territory CVO must be notified by the zoo veterinarian of the death of a designated zoo animal, and the actions being taken in accordance with this </w:t>
                            </w:r>
                            <w:r w:rsidR="00F93BCB">
                              <w:rPr>
                                <w:rFonts w:asciiTheme="minorHAnsi" w:hAnsiTheme="minorHAnsi" w:cstheme="minorHAnsi"/>
                                <w:sz w:val="22"/>
                                <w:szCs w:val="22"/>
                              </w:rPr>
                              <w:t>p</w:t>
                            </w:r>
                            <w:r w:rsidRPr="00B87637">
                              <w:rPr>
                                <w:rFonts w:asciiTheme="minorHAnsi" w:hAnsiTheme="minorHAnsi" w:cstheme="minorHAnsi"/>
                                <w:sz w:val="22"/>
                                <w:szCs w:val="22"/>
                              </w:rPr>
                              <w:t xml:space="preserve">rotocol.  </w:t>
                            </w:r>
                          </w:p>
                          <w:p w14:paraId="11271D5F" w14:textId="77777777" w:rsidR="006B5F2A" w:rsidRPr="00B87637" w:rsidRDefault="006B5F2A" w:rsidP="006B5F2A">
                            <w:pPr>
                              <w:tabs>
                                <w:tab w:val="num" w:pos="851"/>
                              </w:tabs>
                              <w:rPr>
                                <w:rFonts w:asciiTheme="minorHAnsi" w:hAnsiTheme="minorHAnsi" w:cstheme="minorHAnsi"/>
                                <w:sz w:val="22"/>
                                <w:szCs w:val="22"/>
                              </w:rPr>
                            </w:pPr>
                            <w:r w:rsidRPr="00B87637">
                              <w:rPr>
                                <w:rFonts w:asciiTheme="minorHAnsi" w:hAnsiTheme="minorHAnsi" w:cstheme="minorHAnsi"/>
                                <w:sz w:val="22"/>
                                <w:szCs w:val="22"/>
                              </w:rPr>
                              <w:t>State NTSESP coordinators are a useful contact for zoo veterinarians who may not be familiar with brain removal and submission procedures.  A list of NTSESP coordinators is attached at Annex 3.</w:t>
                            </w:r>
                          </w:p>
                          <w:p w14:paraId="249E8BB9" w14:textId="77777777" w:rsidR="006B5F2A" w:rsidRPr="00150CF1" w:rsidRDefault="006B5F2A" w:rsidP="006B5F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9AC427" id="_x0000_t202" coordsize="21600,21600" o:spt="202" path="m,l,21600r21600,l21600,xe">
                <v:stroke joinstyle="miter"/>
                <v:path gradientshapeok="t" o:connecttype="rect"/>
              </v:shapetype>
              <v:shape id="Text Box 16" o:spid="_x0000_s1028" type="#_x0000_t202" style="position:absolute;margin-left:20.6pt;margin-top:9.75pt;width:399.75pt;height:1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">
                <v:textbox>
                  <w:txbxContent>
                    <w:p w14:paraId="7EBC1964" w14:textId="3C1BAB32" w:rsidR="006B5F2A" w:rsidRPr="00B87637" w:rsidRDefault="006B5F2A" w:rsidP="006B5F2A">
                      <w:pPr>
                        <w:tabs>
                          <w:tab w:val="num" w:pos="851"/>
                        </w:tabs>
                        <w:rPr>
                          <w:rFonts w:asciiTheme="minorHAnsi" w:hAnsiTheme="minorHAnsi" w:cstheme="minorHAnsi"/>
                          <w:sz w:val="22"/>
                          <w:szCs w:val="22"/>
                        </w:rPr>
                      </w:pPr>
                      <w:r w:rsidRPr="00B87637">
                        <w:rPr>
                          <w:rFonts w:asciiTheme="minorHAnsi" w:hAnsiTheme="minorHAnsi" w:cstheme="minorHAnsi"/>
                          <w:sz w:val="22"/>
                          <w:szCs w:val="22"/>
                        </w:rPr>
                        <w:t xml:space="preserve">The State/Territory CVO must be notified by the zoo veterinarian of the death of a designated zoo animal, and the actions being taken in accordance with this </w:t>
                      </w:r>
                      <w:r w:rsidR="00F93BCB">
                        <w:rPr>
                          <w:rFonts w:asciiTheme="minorHAnsi" w:hAnsiTheme="minorHAnsi" w:cstheme="minorHAnsi"/>
                          <w:sz w:val="22"/>
                          <w:szCs w:val="22"/>
                        </w:rPr>
                        <w:t>p</w:t>
                      </w:r>
                      <w:r w:rsidRPr="00B87637">
                        <w:rPr>
                          <w:rFonts w:asciiTheme="minorHAnsi" w:hAnsiTheme="minorHAnsi" w:cstheme="minorHAnsi"/>
                          <w:sz w:val="22"/>
                          <w:szCs w:val="22"/>
                        </w:rPr>
                        <w:t xml:space="preserve">rotocol.  </w:t>
                      </w:r>
                    </w:p>
                    <w:p w14:paraId="11271D5F" w14:textId="77777777" w:rsidR="006B5F2A" w:rsidRPr="00B87637" w:rsidRDefault="006B5F2A" w:rsidP="006B5F2A">
                      <w:pPr>
                        <w:tabs>
                          <w:tab w:val="num" w:pos="851"/>
                        </w:tabs>
                        <w:rPr>
                          <w:rFonts w:asciiTheme="minorHAnsi" w:hAnsiTheme="minorHAnsi" w:cstheme="minorHAnsi"/>
                          <w:sz w:val="22"/>
                          <w:szCs w:val="22"/>
                        </w:rPr>
                      </w:pPr>
                      <w:r w:rsidRPr="00B87637">
                        <w:rPr>
                          <w:rFonts w:asciiTheme="minorHAnsi" w:hAnsiTheme="minorHAnsi" w:cstheme="minorHAnsi"/>
                          <w:sz w:val="22"/>
                          <w:szCs w:val="22"/>
                        </w:rPr>
                        <w:t>State NTSESP coordinators are a useful contact for zoo veterinarians who may not be familiar with brain removal and submission procedures.  A list of NTSESP coordinators is attached at Annex 3.</w:t>
                      </w:r>
                    </w:p>
                    <w:p w14:paraId="249E8BB9" w14:textId="77777777" w:rsidR="006B5F2A" w:rsidRPr="00150CF1" w:rsidRDefault="006B5F2A" w:rsidP="006B5F2A"/>
                  </w:txbxContent>
                </v:textbox>
              </v:shape>
            </w:pict>
          </mc:Fallback>
        </mc:AlternateContent>
      </w:r>
    </w:p>
    <w:p w14:paraId="038A7387" w14:textId="77777777" w:rsidR="006B5F2A" w:rsidRPr="004A671D" w:rsidRDefault="006B5F2A" w:rsidP="006B5F2A">
      <w:pPr>
        <w:tabs>
          <w:tab w:val="num" w:pos="851"/>
        </w:tabs>
        <w:rPr>
          <w:rFonts w:asciiTheme="minorHAnsi" w:hAnsiTheme="minorHAnsi" w:cstheme="minorHAnsi"/>
          <w:sz w:val="22"/>
          <w:szCs w:val="22"/>
        </w:rPr>
      </w:pPr>
    </w:p>
    <w:p w14:paraId="717EB60A" w14:textId="77777777" w:rsidR="006B5F2A" w:rsidRPr="004A671D" w:rsidRDefault="006B5F2A" w:rsidP="006B5F2A">
      <w:pPr>
        <w:tabs>
          <w:tab w:val="num" w:pos="851"/>
        </w:tabs>
        <w:rPr>
          <w:rFonts w:asciiTheme="minorHAnsi" w:hAnsiTheme="minorHAnsi" w:cstheme="minorHAnsi"/>
          <w:sz w:val="22"/>
          <w:szCs w:val="22"/>
        </w:rPr>
      </w:pPr>
    </w:p>
    <w:p w14:paraId="251AA016" w14:textId="77777777" w:rsidR="006B5F2A" w:rsidRPr="004A671D" w:rsidRDefault="006B5F2A" w:rsidP="006B5F2A">
      <w:pPr>
        <w:tabs>
          <w:tab w:val="num" w:pos="851"/>
        </w:tabs>
        <w:rPr>
          <w:rFonts w:asciiTheme="minorHAnsi" w:hAnsiTheme="minorHAnsi" w:cstheme="minorHAnsi"/>
          <w:sz w:val="22"/>
          <w:szCs w:val="22"/>
        </w:rPr>
      </w:pPr>
    </w:p>
    <w:p w14:paraId="097C289D" w14:textId="77777777" w:rsidR="006B5F2A" w:rsidRPr="00A92D3F" w:rsidRDefault="006B5F2A" w:rsidP="006B5F2A">
      <w:pPr>
        <w:tabs>
          <w:tab w:val="num" w:pos="851"/>
        </w:tabs>
        <w:rPr>
          <w:rFonts w:asciiTheme="minorHAnsi" w:hAnsiTheme="minorHAnsi" w:cstheme="minorHAnsi"/>
        </w:rPr>
      </w:pPr>
    </w:p>
    <w:p w14:paraId="7B2EC07C" w14:textId="77777777" w:rsidR="006B5F2A" w:rsidRPr="00A92D3F" w:rsidRDefault="006B5F2A" w:rsidP="006B5F2A">
      <w:pPr>
        <w:pStyle w:val="Heading2"/>
        <w:ind w:left="576"/>
        <w:rPr>
          <w:rFonts w:cstheme="minorHAnsi"/>
        </w:rPr>
      </w:pPr>
    </w:p>
    <w:p w14:paraId="4B9B50C1" w14:textId="77777777" w:rsidR="006B5F2A" w:rsidRPr="00A92D3F" w:rsidRDefault="006B5F2A" w:rsidP="00A94EE1">
      <w:pPr>
        <w:pStyle w:val="Heading2"/>
        <w:numPr>
          <w:ilvl w:val="1"/>
          <w:numId w:val="11"/>
        </w:numPr>
        <w:spacing w:before="0"/>
        <w:rPr>
          <w:rFonts w:cstheme="minorHAnsi"/>
        </w:rPr>
      </w:pPr>
      <w:bookmarkStart w:id="25" w:name="_Toc398561836"/>
      <w:bookmarkStart w:id="26" w:name="_Toc465089716"/>
      <w:r w:rsidRPr="00A92D3F">
        <w:rPr>
          <w:rFonts w:cstheme="minorHAnsi"/>
        </w:rPr>
        <w:t>Disposal of dead animals</w:t>
      </w:r>
      <w:bookmarkEnd w:id="25"/>
      <w:bookmarkEnd w:id="26"/>
    </w:p>
    <w:p w14:paraId="2075D1C2" w14:textId="77777777" w:rsidR="006B5F2A" w:rsidRPr="004A671D" w:rsidRDefault="006B5F2A" w:rsidP="006B5F2A">
      <w:pPr>
        <w:tabs>
          <w:tab w:val="num" w:pos="851"/>
        </w:tabs>
        <w:ind w:left="576"/>
        <w:rPr>
          <w:rFonts w:asciiTheme="minorHAnsi" w:hAnsiTheme="minorHAnsi" w:cstheme="minorHAnsi"/>
          <w:sz w:val="22"/>
          <w:szCs w:val="22"/>
        </w:rPr>
      </w:pPr>
      <w:r w:rsidRPr="004A671D">
        <w:rPr>
          <w:rFonts w:asciiTheme="minorHAnsi" w:hAnsiTheme="minorHAnsi" w:cstheme="minorHAnsi"/>
          <w:sz w:val="22"/>
          <w:szCs w:val="22"/>
        </w:rPr>
        <w:t>The carcase of any designated zoo animal must be disposed of in a manner that prevents any tissue material entering the animal or human food chain.  Normal medical waste disposal arrangements are satisfactory as these involve incineration.  Incineration is preferred but deep burial is acceptable.  Rendering into meat and bone meal is not an acceptable means of disposal.</w:t>
      </w:r>
    </w:p>
    <w:p w14:paraId="16F38394" w14:textId="1356EE09" w:rsidR="006B5F2A" w:rsidRPr="00A92D3F" w:rsidRDefault="006B5F2A" w:rsidP="00E4420B">
      <w:pPr>
        <w:tabs>
          <w:tab w:val="num" w:pos="851"/>
        </w:tabs>
        <w:ind w:left="576"/>
        <w:rPr>
          <w:rFonts w:asciiTheme="minorHAnsi" w:hAnsiTheme="minorHAnsi" w:cstheme="minorHAnsi"/>
        </w:rPr>
      </w:pPr>
      <w:r w:rsidRPr="004A671D">
        <w:rPr>
          <w:rFonts w:asciiTheme="minorHAnsi" w:hAnsiTheme="minorHAnsi" w:cstheme="minorHAnsi"/>
          <w:sz w:val="22"/>
          <w:szCs w:val="22"/>
        </w:rPr>
        <w:t xml:space="preserve">As an important general rule, no carcase of </w:t>
      </w:r>
      <w:r w:rsidRPr="004A671D">
        <w:rPr>
          <w:rFonts w:asciiTheme="minorHAnsi" w:hAnsiTheme="minorHAnsi" w:cstheme="minorHAnsi"/>
          <w:b/>
          <w:sz w:val="22"/>
          <w:szCs w:val="22"/>
        </w:rPr>
        <w:t>any</w:t>
      </w:r>
      <w:r w:rsidRPr="004A671D">
        <w:rPr>
          <w:rFonts w:asciiTheme="minorHAnsi" w:hAnsiTheme="minorHAnsi" w:cstheme="minorHAnsi"/>
          <w:sz w:val="22"/>
          <w:szCs w:val="22"/>
        </w:rPr>
        <w:t xml:space="preserve"> </w:t>
      </w:r>
      <w:r w:rsidR="00E872E0">
        <w:rPr>
          <w:rFonts w:asciiTheme="minorHAnsi" w:hAnsiTheme="minorHAnsi" w:cstheme="minorHAnsi"/>
          <w:sz w:val="22"/>
          <w:szCs w:val="22"/>
        </w:rPr>
        <w:t xml:space="preserve">designated </w:t>
      </w:r>
      <w:r w:rsidRPr="004A671D">
        <w:rPr>
          <w:rFonts w:asciiTheme="minorHAnsi" w:hAnsiTheme="minorHAnsi" w:cstheme="minorHAnsi"/>
          <w:sz w:val="22"/>
          <w:szCs w:val="22"/>
        </w:rPr>
        <w:t>zoo animal should be used as food for other animals in the zoo collection.</w:t>
      </w:r>
      <w:r w:rsidRPr="00A92D3F">
        <w:rPr>
          <w:rFonts w:asciiTheme="minorHAnsi" w:hAnsiTheme="minorHAnsi" w:cstheme="minorHAnsi"/>
        </w:rPr>
        <w:t xml:space="preserve">  </w:t>
      </w:r>
      <w:r w:rsidRPr="00A92D3F">
        <w:rPr>
          <w:rFonts w:asciiTheme="minorHAnsi" w:hAnsiTheme="minorHAnsi" w:cstheme="minorHAnsi"/>
        </w:rPr>
        <w:br w:type="page"/>
      </w:r>
    </w:p>
    <w:p w14:paraId="170B7E03" w14:textId="77777777" w:rsidR="006B5F2A" w:rsidRPr="00A92D3F" w:rsidRDefault="006B5F2A" w:rsidP="00A94EE1">
      <w:pPr>
        <w:pStyle w:val="Heading1"/>
        <w:keepLines w:val="0"/>
        <w:numPr>
          <w:ilvl w:val="0"/>
          <w:numId w:val="11"/>
        </w:numPr>
        <w:pBdr>
          <w:bottom w:val="none" w:sz="0" w:space="0" w:color="auto"/>
        </w:pBdr>
        <w:tabs>
          <w:tab w:val="clear" w:pos="567"/>
        </w:tabs>
        <w:spacing w:before="0" w:after="240" w:afterAutospacing="0" w:line="240" w:lineRule="auto"/>
        <w:jc w:val="both"/>
        <w:rPr>
          <w:rFonts w:cstheme="minorHAnsi"/>
        </w:rPr>
      </w:pPr>
      <w:bookmarkStart w:id="27" w:name="_Toc398561837"/>
      <w:bookmarkStart w:id="28" w:name="_Toc465089717"/>
      <w:r w:rsidRPr="00A92D3F">
        <w:rPr>
          <w:rFonts w:cstheme="minorHAnsi"/>
        </w:rPr>
        <w:t>RESPONSE ACTION TO A TSE DIAGNOSIS</w:t>
      </w:r>
      <w:bookmarkEnd w:id="27"/>
      <w:bookmarkEnd w:id="28"/>
    </w:p>
    <w:p w14:paraId="2EEE0A3D"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 xml:space="preserve">The following is applicable to a </w:t>
      </w:r>
      <w:r w:rsidRPr="004A671D">
        <w:rPr>
          <w:rFonts w:asciiTheme="minorHAnsi" w:hAnsiTheme="minorHAnsi" w:cstheme="minorHAnsi"/>
          <w:b/>
          <w:sz w:val="22"/>
          <w:szCs w:val="22"/>
        </w:rPr>
        <w:t>BSE-related</w:t>
      </w:r>
      <w:r w:rsidRPr="004A671D">
        <w:rPr>
          <w:rFonts w:asciiTheme="minorHAnsi" w:hAnsiTheme="minorHAnsi" w:cstheme="minorHAnsi"/>
          <w:sz w:val="22"/>
          <w:szCs w:val="22"/>
        </w:rPr>
        <w:t xml:space="preserve"> case being diagnosed in a zoo animal.  It is based on the understanding that the carcases of zoo animals in Australia are appropriately disposed of, without access by zoo carnivores or otherwise entering the animal or human food chain, in accordance with 3.6 above.</w:t>
      </w:r>
    </w:p>
    <w:p w14:paraId="7D0B9522"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 xml:space="preserve">Provided the protocol for the post-mortem examination of a designated zoo animal </w:t>
      </w:r>
      <w:r w:rsidRPr="004A671D">
        <w:rPr>
          <w:rFonts w:asciiTheme="minorHAnsi" w:hAnsiTheme="minorHAnsi" w:cstheme="minorHAnsi"/>
          <w:i/>
          <w:sz w:val="22"/>
          <w:szCs w:val="22"/>
        </w:rPr>
        <w:t>(refer to Annex 1)</w:t>
      </w:r>
      <w:r w:rsidRPr="004A671D">
        <w:rPr>
          <w:rFonts w:asciiTheme="minorHAnsi" w:hAnsiTheme="minorHAnsi" w:cstheme="minorHAnsi"/>
          <w:sz w:val="22"/>
          <w:szCs w:val="22"/>
        </w:rPr>
        <w:t xml:space="preserve"> has been followed, the positive diagnosis of a </w:t>
      </w:r>
      <w:r w:rsidRPr="004A671D">
        <w:rPr>
          <w:rFonts w:asciiTheme="minorHAnsi" w:hAnsiTheme="minorHAnsi" w:cstheme="minorHAnsi"/>
          <w:b/>
          <w:sz w:val="22"/>
          <w:szCs w:val="22"/>
        </w:rPr>
        <w:t>BSE-related</w:t>
      </w:r>
      <w:r w:rsidRPr="004A671D">
        <w:rPr>
          <w:rFonts w:asciiTheme="minorHAnsi" w:hAnsiTheme="minorHAnsi" w:cstheme="minorHAnsi"/>
          <w:sz w:val="22"/>
          <w:szCs w:val="22"/>
        </w:rPr>
        <w:t xml:space="preserve"> case will generally require minimal response action.</w:t>
      </w:r>
    </w:p>
    <w:p w14:paraId="4065246D"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Upon notification of a positive result by Australian Animal Health Laboratories (AAHL), the State/ territory CVO will notify the Chair of Consultative Committee for Emergency Animal Disease</w:t>
      </w:r>
      <w:r w:rsidRPr="004A671D">
        <w:rPr>
          <w:rStyle w:val="FootnoteReference"/>
          <w:rFonts w:asciiTheme="minorHAnsi" w:hAnsiTheme="minorHAnsi" w:cstheme="minorHAnsi"/>
          <w:sz w:val="22"/>
          <w:szCs w:val="22"/>
        </w:rPr>
        <w:footnoteReference w:id="2"/>
      </w:r>
      <w:r w:rsidRPr="004A671D">
        <w:rPr>
          <w:rFonts w:asciiTheme="minorHAnsi" w:hAnsiTheme="minorHAnsi" w:cstheme="minorHAnsi"/>
          <w:sz w:val="22"/>
          <w:szCs w:val="22"/>
        </w:rPr>
        <w:t xml:space="preserve"> (CCEAD).</w:t>
      </w:r>
    </w:p>
    <w:p w14:paraId="033332CE" w14:textId="77777777" w:rsidR="006B5F2A" w:rsidRPr="004A671D" w:rsidRDefault="006B5F2A" w:rsidP="006B5F2A">
      <w:pPr>
        <w:rPr>
          <w:rFonts w:asciiTheme="minorHAnsi" w:hAnsiTheme="minorHAnsi" w:cstheme="minorHAnsi"/>
          <w:sz w:val="22"/>
          <w:szCs w:val="22"/>
        </w:rPr>
      </w:pPr>
      <w:r w:rsidRPr="004A671D">
        <w:rPr>
          <w:rFonts w:asciiTheme="minorHAnsi" w:hAnsiTheme="minorHAnsi" w:cstheme="minorHAnsi"/>
          <w:sz w:val="22"/>
          <w:szCs w:val="22"/>
        </w:rPr>
        <w:t>Unless otherwise determined by CCEAD the following is to apply:</w:t>
      </w:r>
    </w:p>
    <w:p w14:paraId="5E30CE11" w14:textId="77777777" w:rsidR="006B5F2A" w:rsidRPr="00A92D3F" w:rsidRDefault="006B5F2A" w:rsidP="00A94EE1">
      <w:pPr>
        <w:pStyle w:val="Heading2"/>
        <w:numPr>
          <w:ilvl w:val="1"/>
          <w:numId w:val="11"/>
        </w:numPr>
        <w:spacing w:before="0"/>
        <w:rPr>
          <w:rFonts w:cstheme="minorHAnsi"/>
        </w:rPr>
      </w:pPr>
      <w:bookmarkStart w:id="29" w:name="_Toc398561838"/>
      <w:bookmarkStart w:id="30" w:name="_Toc465089718"/>
      <w:r w:rsidRPr="00A92D3F">
        <w:rPr>
          <w:rFonts w:cstheme="minorHAnsi"/>
        </w:rPr>
        <w:t>Progeny and in-contact animals</w:t>
      </w:r>
      <w:bookmarkEnd w:id="29"/>
      <w:bookmarkEnd w:id="30"/>
    </w:p>
    <w:p w14:paraId="115E5C17"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There is negligible risk of transmission through contact with infected live animals. No specific management measures are necessary for in-contact animals or progeny of designated zoo animals.  Routine records should allow any progeny to be identified and their location determined for future reference.</w:t>
      </w:r>
    </w:p>
    <w:p w14:paraId="6BFF96C6" w14:textId="77777777" w:rsidR="006B5F2A" w:rsidRPr="00A92D3F" w:rsidRDefault="006B5F2A" w:rsidP="00A94EE1">
      <w:pPr>
        <w:pStyle w:val="Heading2"/>
        <w:numPr>
          <w:ilvl w:val="1"/>
          <w:numId w:val="11"/>
        </w:numPr>
        <w:spacing w:before="0"/>
        <w:rPr>
          <w:rFonts w:cstheme="minorHAnsi"/>
        </w:rPr>
      </w:pPr>
      <w:bookmarkStart w:id="31" w:name="_Toc398561839"/>
      <w:bookmarkStart w:id="32" w:name="_Toc465089719"/>
      <w:r w:rsidRPr="00A92D3F">
        <w:rPr>
          <w:rFonts w:cstheme="minorHAnsi"/>
        </w:rPr>
        <w:t>Animal enclosures</w:t>
      </w:r>
      <w:bookmarkEnd w:id="31"/>
      <w:bookmarkEnd w:id="32"/>
    </w:p>
    <w:p w14:paraId="47482184" w14:textId="77777777" w:rsidR="006B5F2A" w:rsidRPr="004A671D" w:rsidRDefault="006B5F2A" w:rsidP="006B5F2A">
      <w:pPr>
        <w:ind w:left="720"/>
        <w:rPr>
          <w:rFonts w:asciiTheme="minorHAnsi" w:hAnsiTheme="minorHAnsi" w:cstheme="minorHAnsi"/>
          <w:sz w:val="22"/>
          <w:szCs w:val="22"/>
        </w:rPr>
      </w:pPr>
      <w:r w:rsidRPr="004A671D">
        <w:rPr>
          <w:rFonts w:asciiTheme="minorHAnsi" w:hAnsiTheme="minorHAnsi" w:cstheme="minorHAnsi"/>
          <w:sz w:val="22"/>
          <w:szCs w:val="22"/>
        </w:rPr>
        <w:t xml:space="preserve">There is negligible risk of spread into the environment through live animals. No specific management measures are necessary for cleaning the animal enclosure in which the affected animal lived. </w:t>
      </w:r>
    </w:p>
    <w:p w14:paraId="353A9AE6" w14:textId="77777777" w:rsidR="006B5F2A" w:rsidRPr="00A92D3F" w:rsidRDefault="006B5F2A" w:rsidP="00A94EE1">
      <w:pPr>
        <w:pStyle w:val="Heading2"/>
        <w:numPr>
          <w:ilvl w:val="1"/>
          <w:numId w:val="11"/>
        </w:numPr>
        <w:spacing w:before="0"/>
        <w:rPr>
          <w:rFonts w:cstheme="minorHAnsi"/>
        </w:rPr>
      </w:pPr>
      <w:bookmarkStart w:id="33" w:name="_Toc398561840"/>
      <w:bookmarkStart w:id="34" w:name="_Toc465089720"/>
      <w:r w:rsidRPr="00A92D3F">
        <w:rPr>
          <w:rFonts w:cstheme="minorHAnsi"/>
        </w:rPr>
        <w:t>Stored tissue material</w:t>
      </w:r>
      <w:bookmarkEnd w:id="33"/>
      <w:bookmarkEnd w:id="34"/>
      <w:r w:rsidRPr="00A92D3F">
        <w:rPr>
          <w:rFonts w:cstheme="minorHAnsi"/>
        </w:rPr>
        <w:t xml:space="preserve"> </w:t>
      </w:r>
    </w:p>
    <w:p w14:paraId="24552A25" w14:textId="77777777" w:rsidR="006B5F2A" w:rsidRPr="004A671D" w:rsidRDefault="006B5F2A" w:rsidP="006B5F2A">
      <w:pPr>
        <w:tabs>
          <w:tab w:val="num" w:pos="851"/>
        </w:tabs>
        <w:ind w:left="720"/>
        <w:rPr>
          <w:rFonts w:asciiTheme="minorHAnsi" w:hAnsiTheme="minorHAnsi" w:cstheme="minorHAnsi"/>
          <w:sz w:val="22"/>
          <w:szCs w:val="22"/>
        </w:rPr>
      </w:pPr>
      <w:r w:rsidRPr="004A671D">
        <w:rPr>
          <w:rFonts w:asciiTheme="minorHAnsi" w:hAnsiTheme="minorHAnsi" w:cstheme="minorHAnsi"/>
          <w:sz w:val="22"/>
          <w:szCs w:val="22"/>
        </w:rPr>
        <w:t>Conditions for storage, handling and disposal of stored tissue material from BSE-positive animals should be discussed with the State/Territory CVO. Any stored material from the positive animal should be flagged as such.  Discarding of the material would not be necessary until or unless it becomes of no continuing use. Unless otherwise determined by CCEAD, no restrictions apply to using stored reproductive material from these animals.  Researchers or other third parties seeking access to stored material should be advised by the zoo that the material derives from an animal diagnosed with a TSE condition.</w:t>
      </w:r>
    </w:p>
    <w:p w14:paraId="723E96F1" w14:textId="77777777" w:rsidR="006B5F2A" w:rsidRPr="00A92D3F" w:rsidRDefault="006B5F2A" w:rsidP="006B5F2A">
      <w:pPr>
        <w:pStyle w:val="Heading2"/>
        <w:rPr>
          <w:rFonts w:cstheme="minorHAnsi"/>
        </w:rPr>
      </w:pPr>
      <w:bookmarkStart w:id="35" w:name="_Toc398561841"/>
      <w:bookmarkStart w:id="36" w:name="_Toc465089721"/>
      <w:r w:rsidRPr="00A92D3F">
        <w:rPr>
          <w:rFonts w:cstheme="minorHAnsi"/>
        </w:rPr>
        <w:t>Other TSEs</w:t>
      </w:r>
      <w:bookmarkEnd w:id="35"/>
      <w:bookmarkEnd w:id="36"/>
    </w:p>
    <w:p w14:paraId="6631A305" w14:textId="77777777" w:rsidR="006B5F2A" w:rsidRPr="004A671D" w:rsidRDefault="006B5F2A" w:rsidP="006B5F2A">
      <w:pPr>
        <w:pStyle w:val="Style1"/>
        <w:spacing w:after="240"/>
        <w:rPr>
          <w:rFonts w:asciiTheme="minorHAnsi" w:hAnsiTheme="minorHAnsi" w:cstheme="minorHAnsi"/>
          <w:szCs w:val="22"/>
        </w:rPr>
      </w:pPr>
      <w:r w:rsidRPr="004A671D">
        <w:rPr>
          <w:rFonts w:asciiTheme="minorHAnsi" w:hAnsiTheme="minorHAnsi" w:cstheme="minorHAnsi"/>
          <w:szCs w:val="22"/>
        </w:rPr>
        <w:t xml:space="preserve">In the case of a confirmed diagnosis of scrapie or CWD in a zoo animal, response actions will involve specific consideration of in-contact animals and the environment, as both diseases are capable of vertical and lateral transmission.  These response measures will be in accordance with AUSVETPLAN, as determined by CCEAD taking into account the particular circumstances. </w:t>
      </w:r>
    </w:p>
    <w:p w14:paraId="1947E03E" w14:textId="77777777" w:rsidR="006B5F2A" w:rsidRPr="00A92D3F" w:rsidRDefault="006B5F2A">
      <w:pPr>
        <w:spacing w:after="0"/>
        <w:rPr>
          <w:rFonts w:asciiTheme="minorHAnsi" w:hAnsiTheme="minorHAnsi" w:cstheme="minorHAnsi"/>
          <w:b/>
          <w:bCs/>
          <w:caps/>
          <w:color w:val="46515B"/>
          <w:sz w:val="28"/>
          <w:szCs w:val="28"/>
          <w:u w:color="46515B"/>
        </w:rPr>
      </w:pPr>
      <w:bookmarkStart w:id="37" w:name="_Toc398561842"/>
      <w:r w:rsidRPr="00A92D3F">
        <w:rPr>
          <w:rFonts w:asciiTheme="minorHAnsi" w:hAnsiTheme="minorHAnsi" w:cstheme="minorHAnsi"/>
          <w:sz w:val="28"/>
        </w:rPr>
        <w:br w:type="page"/>
      </w:r>
    </w:p>
    <w:p w14:paraId="757273CD" w14:textId="77777777" w:rsidR="006B5F2A" w:rsidRPr="00A92D3F" w:rsidRDefault="006B5F2A" w:rsidP="006B5F2A">
      <w:pPr>
        <w:pStyle w:val="Heading2"/>
        <w:rPr>
          <w:rFonts w:cstheme="minorHAnsi"/>
        </w:rPr>
      </w:pPr>
      <w:bookmarkStart w:id="38" w:name="_Toc465089722"/>
      <w:r w:rsidRPr="00A92D3F">
        <w:rPr>
          <w:rFonts w:cstheme="minorHAnsi"/>
        </w:rPr>
        <w:t>ANNEX 1</w:t>
      </w:r>
      <w:bookmarkEnd w:id="37"/>
      <w:bookmarkEnd w:id="38"/>
    </w:p>
    <w:p w14:paraId="42D1720A" w14:textId="77777777" w:rsidR="006B5F2A" w:rsidRPr="00A94EE1" w:rsidRDefault="00A94EE1" w:rsidP="00A94EE1">
      <w:pPr>
        <w:pStyle w:val="Heading2"/>
      </w:pPr>
      <w:bookmarkStart w:id="39" w:name="_Toc398561843"/>
      <w:bookmarkStart w:id="40" w:name="_Toc465089723"/>
      <w:r w:rsidRPr="00A94EE1">
        <w:rPr>
          <w:caps w:val="0"/>
        </w:rPr>
        <w:t>Guidelines for performing post mortem examinations and sample collections from designated zo</w:t>
      </w:r>
      <w:r>
        <w:rPr>
          <w:caps w:val="0"/>
        </w:rPr>
        <w:t>o animals for the purpose of TSE</w:t>
      </w:r>
      <w:r w:rsidRPr="00A94EE1">
        <w:rPr>
          <w:caps w:val="0"/>
        </w:rPr>
        <w:t xml:space="preserve"> exclusion</w:t>
      </w:r>
      <w:bookmarkEnd w:id="39"/>
      <w:bookmarkEnd w:id="40"/>
    </w:p>
    <w:p w14:paraId="7810B921" w14:textId="77777777" w:rsidR="006B5F2A" w:rsidRPr="00A92D3F" w:rsidRDefault="006B5F2A" w:rsidP="006B5F2A">
      <w:pPr>
        <w:rPr>
          <w:rFonts w:asciiTheme="minorHAnsi" w:hAnsiTheme="minorHAnsi" w:cstheme="minorHAnsi"/>
          <w:b/>
        </w:rPr>
      </w:pPr>
      <w:r w:rsidRPr="00A92D3F">
        <w:rPr>
          <w:rFonts w:asciiTheme="minorHAnsi" w:hAnsiTheme="minorHAnsi" w:cstheme="minorHAnsi"/>
          <w:b/>
        </w:rPr>
        <w:t>1.</w:t>
      </w:r>
      <w:r w:rsidRPr="00A92D3F">
        <w:rPr>
          <w:rFonts w:asciiTheme="minorHAnsi" w:hAnsiTheme="minorHAnsi" w:cstheme="minorHAnsi"/>
          <w:b/>
        </w:rPr>
        <w:tab/>
        <w:t xml:space="preserve">Background </w:t>
      </w:r>
    </w:p>
    <w:p w14:paraId="349B1C7A" w14:textId="77777777"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 xml:space="preserve">Transmissible spongiform encephalopathies (TSEs) are fatal degenerative brain diseases affecting a variety of species including humans (variant Creutzfeldt-Jakob Disease - vCJD), domestic ruminants (Bovine spongiform encephalopathy – BSE, scrapie), domestic cats (feline spongiform encephalopathy – FSE), farmed and rangeland cervidae (Chronic Wasting Disease - CWD), and farmed mink (transmissible mink encephalopathy), as well as several species of zoo ungulates (exotic ungulate spongiform encephalopathy), non-human primates  and felidae. </w:t>
      </w:r>
    </w:p>
    <w:p w14:paraId="3DA046F7" w14:textId="3DFEEFFA"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Molecular and biological investigations have supported an etiological link between BSE and vCJD, FSE, exotic ungulate spongiform encephalopathy and people.</w:t>
      </w:r>
    </w:p>
    <w:p w14:paraId="48CF58FB" w14:textId="77777777"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 xml:space="preserve">The causative agents of TSEs, termed ‘prions’, are not uniformly distributed in the tissues of affected individuals and infectivity depends upon the stage of incubation. In general, late in the incubation period and during clinical disease neural tissues (including the eye) have the highest concentration of prions, followed by spinal fluid and lymphoid tissues. </w:t>
      </w:r>
    </w:p>
    <w:p w14:paraId="55957A90" w14:textId="77777777"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Prions exhibit unusual resistance to autolysis as well as common chemical and physical decontamination methods including autoclaving at conventional times and temperatures (121</w:t>
      </w:r>
      <w:r w:rsidRPr="00A92D3F">
        <w:rPr>
          <w:rFonts w:asciiTheme="minorHAnsi" w:hAnsiTheme="minorHAnsi" w:cstheme="minorHAnsi"/>
          <w:sz w:val="22"/>
          <w:vertAlign w:val="superscript"/>
        </w:rPr>
        <w:t>o</w:t>
      </w:r>
      <w:r w:rsidRPr="00A92D3F">
        <w:rPr>
          <w:rFonts w:asciiTheme="minorHAnsi" w:hAnsiTheme="minorHAnsi" w:cstheme="minorHAnsi"/>
          <w:sz w:val="22"/>
        </w:rPr>
        <w:t xml:space="preserve">C for 15 min). </w:t>
      </w:r>
    </w:p>
    <w:p w14:paraId="628BB6EF" w14:textId="77777777"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Transmission of scrapie, CWD, FSE, or exotic ungulate spongiform encephalopathy to humans has not been recognised. If transmission did occur in an occupational setting this would most likely be from exposure to infected tissues or materials by direct inoculation, splashing of mucous membranes, or inadvertent ingestion. Transmission is unlikely to occur through the aerosol route. Transmission of BSE to humans, leading to vCJD, by any means other than ingestion of infected tissue has not been recognised.</w:t>
      </w:r>
    </w:p>
    <w:p w14:paraId="24F5D9C0" w14:textId="2B0363E2" w:rsidR="006B5F2A" w:rsidRPr="00C75003" w:rsidRDefault="006B5F2A" w:rsidP="00C75003">
      <w:pPr>
        <w:numPr>
          <w:ilvl w:val="0"/>
          <w:numId w:val="7"/>
        </w:numPr>
        <w:rPr>
          <w:rFonts w:asciiTheme="minorHAnsi" w:hAnsiTheme="minorHAnsi" w:cstheme="minorHAnsi"/>
          <w:b/>
          <w:sz w:val="22"/>
        </w:rPr>
      </w:pPr>
      <w:r w:rsidRPr="00A92D3F">
        <w:rPr>
          <w:rFonts w:asciiTheme="minorHAnsi" w:hAnsiTheme="minorHAnsi" w:cstheme="minorHAnsi"/>
          <w:sz w:val="22"/>
        </w:rPr>
        <w:t xml:space="preserve">Although there has been no recognised transmission other than by ingestion, special consideration should be given to the protection of involved personnel from possible exposure to prions during performance of post mortem examinations and sample collections from designated zoo animals for the purpose of TSE exclusion. </w:t>
      </w:r>
      <w:r w:rsidR="00C75003">
        <w:rPr>
          <w:rFonts w:asciiTheme="minorHAnsi" w:hAnsiTheme="minorHAnsi" w:cstheme="minorHAnsi"/>
          <w:sz w:val="22"/>
        </w:rPr>
        <w:t xml:space="preserve">Appropriate decontamination of tools, instruments and contaminated protective clothing should be considered. The appropriate containment of environmental contaminants should also be considered. </w:t>
      </w:r>
    </w:p>
    <w:p w14:paraId="06AF55F2" w14:textId="77777777" w:rsidR="006B5F2A" w:rsidRPr="00A92D3F" w:rsidRDefault="006B5F2A" w:rsidP="00A94EE1">
      <w:pPr>
        <w:numPr>
          <w:ilvl w:val="0"/>
          <w:numId w:val="7"/>
        </w:numPr>
        <w:rPr>
          <w:rFonts w:asciiTheme="minorHAnsi" w:hAnsiTheme="minorHAnsi" w:cstheme="minorHAnsi"/>
          <w:b/>
          <w:sz w:val="22"/>
        </w:rPr>
      </w:pPr>
      <w:r w:rsidRPr="00A92D3F">
        <w:rPr>
          <w:rFonts w:asciiTheme="minorHAnsi" w:hAnsiTheme="minorHAnsi" w:cstheme="minorHAnsi"/>
          <w:sz w:val="22"/>
        </w:rPr>
        <w:t>As a general principle, all designated zoo animals should receive a complete post mortem examination irrespective of the clinical presentation of the animal prior to death.</w:t>
      </w:r>
    </w:p>
    <w:p w14:paraId="0F80EB6D" w14:textId="77777777" w:rsidR="006B5F2A" w:rsidRPr="00A92D3F" w:rsidRDefault="006B5F2A" w:rsidP="006B5F2A">
      <w:pPr>
        <w:ind w:left="720" w:hanging="720"/>
        <w:rPr>
          <w:rFonts w:asciiTheme="minorHAnsi" w:hAnsiTheme="minorHAnsi" w:cstheme="minorHAnsi"/>
          <w:b/>
        </w:rPr>
      </w:pPr>
      <w:r w:rsidRPr="00A92D3F">
        <w:rPr>
          <w:rFonts w:asciiTheme="minorHAnsi" w:hAnsiTheme="minorHAnsi" w:cstheme="minorHAnsi"/>
          <w:b/>
        </w:rPr>
        <w:t>2.</w:t>
      </w:r>
      <w:r w:rsidRPr="00A92D3F">
        <w:rPr>
          <w:rFonts w:asciiTheme="minorHAnsi" w:hAnsiTheme="minorHAnsi" w:cstheme="minorHAnsi"/>
          <w:b/>
        </w:rPr>
        <w:tab/>
        <w:t>Protection of personnel from possible exposure to prions during post mortem examinations and sample collections from designated zoo animals for the purpose of TSE exclusion</w:t>
      </w:r>
    </w:p>
    <w:p w14:paraId="5FD46526" w14:textId="77777777" w:rsidR="006B5F2A" w:rsidRPr="00A92D3F" w:rsidRDefault="006B5F2A" w:rsidP="00A94EE1">
      <w:pPr>
        <w:numPr>
          <w:ilvl w:val="0"/>
          <w:numId w:val="9"/>
        </w:numPr>
        <w:rPr>
          <w:rFonts w:asciiTheme="minorHAnsi" w:hAnsiTheme="minorHAnsi" w:cstheme="minorHAnsi"/>
          <w:sz w:val="22"/>
        </w:rPr>
      </w:pPr>
      <w:r w:rsidRPr="00A92D3F">
        <w:rPr>
          <w:rFonts w:asciiTheme="minorHAnsi" w:hAnsiTheme="minorHAnsi" w:cstheme="minorHAnsi"/>
          <w:sz w:val="22"/>
        </w:rPr>
        <w:t>Only personnel approved by the institution and directly involved in the procedure should be present.</w:t>
      </w:r>
    </w:p>
    <w:p w14:paraId="7239579D" w14:textId="77777777" w:rsidR="006B5F2A" w:rsidRPr="00A92D3F" w:rsidRDefault="006B5F2A" w:rsidP="00A94EE1">
      <w:pPr>
        <w:numPr>
          <w:ilvl w:val="0"/>
          <w:numId w:val="8"/>
        </w:numPr>
        <w:rPr>
          <w:rFonts w:asciiTheme="minorHAnsi" w:hAnsiTheme="minorHAnsi" w:cstheme="minorHAnsi"/>
          <w:sz w:val="22"/>
        </w:rPr>
      </w:pPr>
      <w:r w:rsidRPr="00A92D3F">
        <w:rPr>
          <w:rFonts w:asciiTheme="minorHAnsi" w:hAnsiTheme="minorHAnsi" w:cstheme="minorHAnsi"/>
          <w:sz w:val="22"/>
        </w:rPr>
        <w:t>Basic hygiene precautions are applicable:</w:t>
      </w:r>
    </w:p>
    <w:p w14:paraId="1CE3290F" w14:textId="25155BCC"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Do not eat, drink, smoke or take medication while performing or witnessing the post-mortem examination</w:t>
      </w:r>
    </w:p>
    <w:p w14:paraId="51AAE436"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Protect skin wounds prior to starting the post mortem examination</w:t>
      </w:r>
    </w:p>
    <w:p w14:paraId="2401DB90"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Wear protective clothing including Wellington boots and disposable gloves. Consideration should be given to use of disposable impervious back-fastening gowns or aprons and waterproof leggings</w:t>
      </w:r>
    </w:p>
    <w:p w14:paraId="7650E506"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Protect eyes and mucous membranes – safety spectacles and (N95/P2) masks or full face visor as appropriate and including consideration of operator preference (see Annex 2). Reference should be made to Australian Standard AS/NZS 1715 - Selection, use and maintenance of respiratory protective devices</w:t>
      </w:r>
    </w:p>
    <w:p w14:paraId="186EFC7C"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Minimise the use of sharps and where possible use single-use disposable items e.g. scalpels</w:t>
      </w:r>
    </w:p>
    <w:p w14:paraId="74D8EAB3"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Use of suitable hand protection is advised, for example armoured or cut resistant gloves, especially during collection of the brain or spinal cord (see Annex 2). It should be emphasised that such gloves do not protect against</w:t>
      </w:r>
      <w:r w:rsidRPr="00A92D3F">
        <w:rPr>
          <w:rFonts w:asciiTheme="minorHAnsi" w:hAnsiTheme="minorHAnsi" w:cstheme="minorHAnsi"/>
        </w:rPr>
        <w:t xml:space="preserve"> </w:t>
      </w:r>
      <w:r w:rsidRPr="00A92D3F">
        <w:rPr>
          <w:rFonts w:asciiTheme="minorHAnsi" w:hAnsiTheme="minorHAnsi" w:cstheme="minorHAnsi"/>
          <w:sz w:val="22"/>
        </w:rPr>
        <w:t>needle-stick or other penetrating injuries</w:t>
      </w:r>
    </w:p>
    <w:p w14:paraId="40B0C412"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 xml:space="preserve">Potential generation of bone dust contaminated with neural tissue will be less if hacksaws or bone forceps are used, rather that reciprocating or oscillating saws, for removal of the brain or spinal cord </w:t>
      </w:r>
    </w:p>
    <w:p w14:paraId="585EC7DF"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Remove protective clothing and wash hands before leaving the work area</w:t>
      </w:r>
    </w:p>
    <w:p w14:paraId="47268DFA" w14:textId="712D4C18" w:rsidR="006B5F2A" w:rsidRPr="00A92D3F" w:rsidRDefault="006B5F2A" w:rsidP="00A94EE1">
      <w:pPr>
        <w:numPr>
          <w:ilvl w:val="1"/>
          <w:numId w:val="8"/>
        </w:numPr>
        <w:ind w:right="-158"/>
        <w:rPr>
          <w:rFonts w:asciiTheme="minorHAnsi" w:hAnsiTheme="minorHAnsi" w:cstheme="minorHAnsi"/>
          <w:sz w:val="22"/>
        </w:rPr>
      </w:pPr>
      <w:r w:rsidRPr="00A92D3F">
        <w:rPr>
          <w:rFonts w:asciiTheme="minorHAnsi" w:hAnsiTheme="minorHAnsi" w:cstheme="minorHAnsi"/>
          <w:sz w:val="22"/>
        </w:rPr>
        <w:t>Accidents involving parenteral exposure to tissues or contaminated materials should be documented. It has been advised that such records be retained for 40 years (UK Advisory Committee on Dangerous Pathogens</w:t>
      </w:r>
      <w:r w:rsidR="00E4420B">
        <w:rPr>
          <w:rFonts w:asciiTheme="minorHAnsi" w:hAnsiTheme="minorHAnsi" w:cstheme="minorHAnsi"/>
          <w:sz w:val="22"/>
        </w:rPr>
        <w:t xml:space="preserve">, </w:t>
      </w:r>
      <w:r w:rsidRPr="00A92D3F">
        <w:rPr>
          <w:rFonts w:asciiTheme="minorHAnsi" w:hAnsiTheme="minorHAnsi" w:cstheme="minorHAnsi"/>
          <w:sz w:val="22"/>
        </w:rPr>
        <w:t>http://www.hse.gov.uk/aboutus/meetings/committees/acdp/).</w:t>
      </w:r>
    </w:p>
    <w:p w14:paraId="2D21931A" w14:textId="77777777" w:rsidR="006B5F2A" w:rsidRPr="00A92D3F" w:rsidRDefault="006B5F2A" w:rsidP="006B5F2A">
      <w:pPr>
        <w:rPr>
          <w:rFonts w:asciiTheme="minorHAnsi" w:hAnsiTheme="minorHAnsi" w:cstheme="minorHAnsi"/>
          <w:b/>
        </w:rPr>
      </w:pPr>
      <w:r w:rsidRPr="00A92D3F">
        <w:rPr>
          <w:rFonts w:asciiTheme="minorHAnsi" w:hAnsiTheme="minorHAnsi" w:cstheme="minorHAnsi"/>
          <w:b/>
        </w:rPr>
        <w:t>3.</w:t>
      </w:r>
      <w:r w:rsidRPr="00A92D3F">
        <w:rPr>
          <w:rFonts w:asciiTheme="minorHAnsi" w:hAnsiTheme="minorHAnsi" w:cstheme="minorHAnsi"/>
          <w:b/>
        </w:rPr>
        <w:tab/>
        <w:t>Decontamination and/or disposal of tools, instruments and contaminated waste</w:t>
      </w:r>
    </w:p>
    <w:p w14:paraId="7C1519C5" w14:textId="77777777" w:rsidR="006B5F2A" w:rsidRPr="00A92D3F" w:rsidRDefault="006B5F2A" w:rsidP="00A94EE1">
      <w:pPr>
        <w:numPr>
          <w:ilvl w:val="0"/>
          <w:numId w:val="8"/>
        </w:numPr>
        <w:rPr>
          <w:rFonts w:asciiTheme="minorHAnsi" w:hAnsiTheme="minorHAnsi" w:cstheme="minorHAnsi"/>
          <w:sz w:val="22"/>
        </w:rPr>
      </w:pPr>
      <w:r w:rsidRPr="00A92D3F">
        <w:rPr>
          <w:rFonts w:asciiTheme="minorHAnsi" w:hAnsiTheme="minorHAnsi" w:cstheme="minorHAnsi"/>
          <w:sz w:val="22"/>
        </w:rPr>
        <w:t>Single use sharps (in approved containers) and contaminated waste including disposable gloves, aprons, polythene or other sheeting, as well as the carcase itself should be secured in leak proof containers, e.g. double bagged, and disposed of safely by incineration.</w:t>
      </w:r>
    </w:p>
    <w:p w14:paraId="508A85CA" w14:textId="77777777" w:rsidR="006B5F2A" w:rsidRPr="00A92D3F" w:rsidRDefault="006B5F2A" w:rsidP="00A94EE1">
      <w:pPr>
        <w:numPr>
          <w:ilvl w:val="0"/>
          <w:numId w:val="8"/>
        </w:numPr>
        <w:rPr>
          <w:rFonts w:asciiTheme="minorHAnsi" w:hAnsiTheme="minorHAnsi" w:cstheme="minorHAnsi"/>
          <w:sz w:val="22"/>
        </w:rPr>
      </w:pPr>
      <w:r w:rsidRPr="00A92D3F">
        <w:rPr>
          <w:rFonts w:asciiTheme="minorHAnsi" w:hAnsiTheme="minorHAnsi" w:cstheme="minorHAnsi"/>
          <w:sz w:val="22"/>
        </w:rPr>
        <w:t>Tools, instruments, and work surfaces intended for reuse during subsequent post mortem examinations should be washed thoroughly with detergent to remove adherent material prior to decontamination. For preference, cleansing should be carried out in an automated thermal washer, with liquid waste disposed of by normal direct discharge or by collection and inactivation, rather than by manual handling. Subsequent decontamination is by the following as appropriate</w:t>
      </w:r>
    </w:p>
    <w:p w14:paraId="6D3B6D86"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sodium hypochlorite solution containing 2% (20000ppm) available chlorine for more than one hour at 20</w:t>
      </w:r>
      <w:r w:rsidRPr="00A92D3F">
        <w:rPr>
          <w:rFonts w:asciiTheme="minorHAnsi" w:hAnsiTheme="minorHAnsi" w:cstheme="minorHAnsi"/>
          <w:sz w:val="22"/>
          <w:vertAlign w:val="superscript"/>
        </w:rPr>
        <w:t>0</w:t>
      </w:r>
      <w:r w:rsidRPr="00A92D3F">
        <w:rPr>
          <w:rFonts w:asciiTheme="minorHAnsi" w:hAnsiTheme="minorHAnsi" w:cstheme="minorHAnsi"/>
          <w:sz w:val="22"/>
        </w:rPr>
        <w:t xml:space="preserve"> C for surfaces (overnight for equipment). It should be noted that the strength of commercial hypochlorite may vary during storage</w:t>
      </w:r>
    </w:p>
    <w:p w14:paraId="1BE5910A" w14:textId="77777777" w:rsidR="006B5F2A" w:rsidRPr="00A92D3F" w:rsidRDefault="006B5F2A" w:rsidP="006B5F2A">
      <w:pPr>
        <w:ind w:left="2880"/>
        <w:rPr>
          <w:rFonts w:asciiTheme="minorHAnsi" w:hAnsiTheme="minorHAnsi" w:cstheme="minorHAnsi"/>
          <w:sz w:val="22"/>
        </w:rPr>
      </w:pPr>
      <w:r w:rsidRPr="00A92D3F">
        <w:rPr>
          <w:rFonts w:asciiTheme="minorHAnsi" w:hAnsiTheme="minorHAnsi" w:cstheme="minorHAnsi"/>
          <w:sz w:val="22"/>
        </w:rPr>
        <w:t>or</w:t>
      </w:r>
    </w:p>
    <w:p w14:paraId="50F9DAB7"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80g/L sodium hydroxide for more than one hour at 20</w:t>
      </w:r>
      <w:r w:rsidRPr="00A92D3F">
        <w:rPr>
          <w:rFonts w:asciiTheme="minorHAnsi" w:hAnsiTheme="minorHAnsi" w:cstheme="minorHAnsi"/>
          <w:sz w:val="22"/>
          <w:vertAlign w:val="superscript"/>
        </w:rPr>
        <w:t>0</w:t>
      </w:r>
      <w:r w:rsidRPr="00A92D3F">
        <w:rPr>
          <w:rFonts w:asciiTheme="minorHAnsi" w:hAnsiTheme="minorHAnsi" w:cstheme="minorHAnsi"/>
          <w:sz w:val="22"/>
        </w:rPr>
        <w:t xml:space="preserve"> C for surfaces (overnight for equipment)</w:t>
      </w:r>
    </w:p>
    <w:p w14:paraId="1C486D28" w14:textId="77777777" w:rsidR="006B5F2A" w:rsidRPr="00A92D3F" w:rsidRDefault="006B5F2A" w:rsidP="006B5F2A">
      <w:pPr>
        <w:ind w:left="2880"/>
        <w:rPr>
          <w:rFonts w:asciiTheme="minorHAnsi" w:hAnsiTheme="minorHAnsi" w:cstheme="minorHAnsi"/>
          <w:sz w:val="22"/>
        </w:rPr>
      </w:pPr>
      <w:r w:rsidRPr="00A92D3F">
        <w:rPr>
          <w:rFonts w:asciiTheme="minorHAnsi" w:hAnsiTheme="minorHAnsi" w:cstheme="minorHAnsi"/>
          <w:sz w:val="22"/>
        </w:rPr>
        <w:t>or</w:t>
      </w:r>
    </w:p>
    <w:p w14:paraId="219066BC" w14:textId="77777777" w:rsidR="006B5F2A" w:rsidRPr="00A92D3F" w:rsidRDefault="006B5F2A" w:rsidP="00A94EE1">
      <w:pPr>
        <w:numPr>
          <w:ilvl w:val="1"/>
          <w:numId w:val="8"/>
        </w:numPr>
        <w:rPr>
          <w:rFonts w:asciiTheme="minorHAnsi" w:hAnsiTheme="minorHAnsi" w:cstheme="minorHAnsi"/>
          <w:sz w:val="22"/>
        </w:rPr>
      </w:pPr>
      <w:r w:rsidRPr="00A92D3F">
        <w:rPr>
          <w:rFonts w:asciiTheme="minorHAnsi" w:hAnsiTheme="minorHAnsi" w:cstheme="minorHAnsi"/>
          <w:sz w:val="22"/>
        </w:rPr>
        <w:t>porous load autoclaving at a hold temperature of 134-138</w:t>
      </w:r>
      <w:r w:rsidRPr="00A92D3F">
        <w:rPr>
          <w:rFonts w:asciiTheme="minorHAnsi" w:hAnsiTheme="minorHAnsi" w:cstheme="minorHAnsi"/>
          <w:sz w:val="22"/>
          <w:vertAlign w:val="superscript"/>
        </w:rPr>
        <w:t xml:space="preserve">o </w:t>
      </w:r>
      <w:r w:rsidRPr="00A92D3F">
        <w:rPr>
          <w:rFonts w:asciiTheme="minorHAnsi" w:hAnsiTheme="minorHAnsi" w:cstheme="minorHAnsi"/>
          <w:sz w:val="22"/>
        </w:rPr>
        <w:t>C for a single cycle of 18 minutes at 30lb/in</w:t>
      </w:r>
      <w:r w:rsidRPr="00A92D3F">
        <w:rPr>
          <w:rFonts w:asciiTheme="minorHAnsi" w:hAnsiTheme="minorHAnsi" w:cstheme="minorHAnsi"/>
          <w:sz w:val="22"/>
          <w:vertAlign w:val="superscript"/>
        </w:rPr>
        <w:t>2</w:t>
      </w:r>
      <w:r w:rsidRPr="00A92D3F">
        <w:rPr>
          <w:rFonts w:asciiTheme="minorHAnsi" w:hAnsiTheme="minorHAnsi" w:cstheme="minorHAnsi"/>
          <w:sz w:val="22"/>
        </w:rPr>
        <w:t xml:space="preserve"> or six successive cycles of three minutes each or at 132</w:t>
      </w:r>
      <w:r w:rsidRPr="00A92D3F">
        <w:rPr>
          <w:rFonts w:asciiTheme="minorHAnsi" w:hAnsiTheme="minorHAnsi" w:cstheme="minorHAnsi"/>
          <w:sz w:val="22"/>
          <w:vertAlign w:val="superscript"/>
        </w:rPr>
        <w:t xml:space="preserve">o </w:t>
      </w:r>
      <w:r w:rsidRPr="00A92D3F">
        <w:rPr>
          <w:rFonts w:asciiTheme="minorHAnsi" w:hAnsiTheme="minorHAnsi" w:cstheme="minorHAnsi"/>
          <w:sz w:val="22"/>
        </w:rPr>
        <w:t>C for 270 minutes.</w:t>
      </w:r>
    </w:p>
    <w:p w14:paraId="3BC1ED8C" w14:textId="77777777" w:rsidR="006B5F2A" w:rsidRPr="00A92D3F" w:rsidRDefault="006B5F2A" w:rsidP="006B5F2A">
      <w:pPr>
        <w:ind w:left="720"/>
        <w:rPr>
          <w:rFonts w:asciiTheme="minorHAnsi" w:hAnsiTheme="minorHAnsi" w:cstheme="minorHAnsi"/>
          <w:sz w:val="22"/>
        </w:rPr>
      </w:pPr>
      <w:r w:rsidRPr="00A92D3F">
        <w:rPr>
          <w:rFonts w:asciiTheme="minorHAnsi" w:hAnsiTheme="minorHAnsi" w:cstheme="minorHAnsi"/>
          <w:sz w:val="22"/>
        </w:rPr>
        <w:t>Depending upon the circumstances, cleaning and decontamination may be carried out simultaneously e.g. cleaning with sodium hydroxide.</w:t>
      </w:r>
    </w:p>
    <w:p w14:paraId="19C2F6FE" w14:textId="77777777" w:rsidR="006B5F2A" w:rsidRPr="00A92D3F" w:rsidRDefault="006B5F2A" w:rsidP="006B5F2A">
      <w:pPr>
        <w:ind w:left="720"/>
        <w:rPr>
          <w:rFonts w:asciiTheme="minorHAnsi" w:hAnsiTheme="minorHAnsi" w:cstheme="minorHAnsi"/>
          <w:sz w:val="22"/>
        </w:rPr>
      </w:pPr>
      <w:r w:rsidRPr="00A92D3F">
        <w:rPr>
          <w:rFonts w:asciiTheme="minorHAnsi" w:hAnsiTheme="minorHAnsi" w:cstheme="minorHAnsi"/>
          <w:sz w:val="22"/>
        </w:rPr>
        <w:t>Note: Use of a washing machine to wash protective clothing will result in contamination of the machine. To avoid this, clothing can be sealed and frozen until results of testing are available. If negative, clothes can be washed as normal. If positive, clothes and other items should be double bagged and incinerated.</w:t>
      </w:r>
    </w:p>
    <w:p w14:paraId="678A2DA9" w14:textId="77777777" w:rsidR="006B5F2A" w:rsidRPr="00A92D3F" w:rsidRDefault="006B5F2A" w:rsidP="006B5F2A">
      <w:pPr>
        <w:rPr>
          <w:rFonts w:asciiTheme="minorHAnsi" w:hAnsiTheme="minorHAnsi" w:cstheme="minorHAnsi"/>
          <w:b/>
        </w:rPr>
      </w:pPr>
      <w:r w:rsidRPr="00A92D3F">
        <w:rPr>
          <w:rFonts w:asciiTheme="minorHAnsi" w:hAnsiTheme="minorHAnsi" w:cstheme="minorHAnsi"/>
          <w:b/>
        </w:rPr>
        <w:t>4.</w:t>
      </w:r>
      <w:r w:rsidRPr="00A92D3F">
        <w:rPr>
          <w:rFonts w:asciiTheme="minorHAnsi" w:hAnsiTheme="minorHAnsi" w:cstheme="minorHAnsi"/>
          <w:b/>
        </w:rPr>
        <w:tab/>
        <w:t>Containment of environmental contamination</w:t>
      </w:r>
    </w:p>
    <w:p w14:paraId="3B069FDC" w14:textId="77777777" w:rsidR="006B5F2A" w:rsidRPr="00A92D3F" w:rsidRDefault="006B5F2A" w:rsidP="00A94EE1">
      <w:pPr>
        <w:numPr>
          <w:ilvl w:val="0"/>
          <w:numId w:val="8"/>
        </w:numPr>
        <w:rPr>
          <w:rFonts w:asciiTheme="minorHAnsi" w:hAnsiTheme="minorHAnsi" w:cstheme="minorHAnsi"/>
          <w:b/>
          <w:sz w:val="22"/>
        </w:rPr>
      </w:pPr>
      <w:r w:rsidRPr="00A92D3F">
        <w:rPr>
          <w:rFonts w:asciiTheme="minorHAnsi" w:hAnsiTheme="minorHAnsi" w:cstheme="minorHAnsi"/>
          <w:sz w:val="22"/>
        </w:rPr>
        <w:t xml:space="preserve">Prior to commencement of the work, consideration should be given to ease of decontamination of the working surfaces following completion of the post mortem examination. For example, work may be carried out on a stainless steel or enamel tray that may subsequently be autoclaved or decontaminated using appropriate disinfectant (see above).  Work surfaces may also be protected by disposable coverings such as polythene sheeting or plastic-backed absorbent paper. </w:t>
      </w:r>
    </w:p>
    <w:p w14:paraId="082F913E" w14:textId="77777777" w:rsidR="006B5F2A" w:rsidRPr="00A92D3F" w:rsidRDefault="006B5F2A" w:rsidP="00A94EE1">
      <w:pPr>
        <w:numPr>
          <w:ilvl w:val="0"/>
          <w:numId w:val="8"/>
        </w:numPr>
        <w:rPr>
          <w:rFonts w:asciiTheme="minorHAnsi" w:hAnsiTheme="minorHAnsi" w:cstheme="minorHAnsi"/>
          <w:b/>
          <w:sz w:val="22"/>
        </w:rPr>
      </w:pPr>
      <w:r w:rsidRPr="00A92D3F">
        <w:rPr>
          <w:rFonts w:asciiTheme="minorHAnsi" w:hAnsiTheme="minorHAnsi" w:cstheme="minorHAnsi"/>
          <w:sz w:val="22"/>
        </w:rPr>
        <w:t>All instruments, tools, specimen jars, etc. should be assembled prior to commencing the post mortem to minimise traffic between ‘clean’ and ‘dirty’ work areas. A ‘clean’ assistant should be available to record observations, label specimen tubes etc.</w:t>
      </w:r>
    </w:p>
    <w:p w14:paraId="23E3B498" w14:textId="77777777" w:rsidR="006B5F2A" w:rsidRPr="00A92D3F" w:rsidRDefault="006B5F2A" w:rsidP="00A94EE1">
      <w:pPr>
        <w:numPr>
          <w:ilvl w:val="0"/>
          <w:numId w:val="8"/>
        </w:numPr>
        <w:rPr>
          <w:rFonts w:asciiTheme="minorHAnsi" w:hAnsiTheme="minorHAnsi" w:cstheme="minorHAnsi"/>
          <w:b/>
          <w:sz w:val="22"/>
        </w:rPr>
      </w:pPr>
      <w:r w:rsidRPr="00A92D3F">
        <w:rPr>
          <w:rFonts w:asciiTheme="minorHAnsi" w:hAnsiTheme="minorHAnsi" w:cstheme="minorHAnsi"/>
          <w:sz w:val="22"/>
        </w:rPr>
        <w:t>Washing down of the work area should be minimised. Consideration may be given to collection of washings in a sump or tank for decontamination (see above) prior to disposal.</w:t>
      </w:r>
    </w:p>
    <w:p w14:paraId="7193E01E" w14:textId="77777777" w:rsidR="006B5F2A" w:rsidRPr="00A92D3F" w:rsidRDefault="006B5F2A" w:rsidP="006B5F2A">
      <w:pPr>
        <w:rPr>
          <w:rFonts w:asciiTheme="minorHAnsi" w:hAnsiTheme="minorHAnsi" w:cstheme="minorHAnsi"/>
          <w:b/>
        </w:rPr>
      </w:pPr>
      <w:r w:rsidRPr="00A92D3F">
        <w:rPr>
          <w:rFonts w:asciiTheme="minorHAnsi" w:hAnsiTheme="minorHAnsi" w:cstheme="minorHAnsi"/>
          <w:b/>
        </w:rPr>
        <w:t>5.</w:t>
      </w:r>
      <w:r w:rsidRPr="00A92D3F">
        <w:rPr>
          <w:rFonts w:asciiTheme="minorHAnsi" w:hAnsiTheme="minorHAnsi" w:cstheme="minorHAnsi"/>
          <w:b/>
        </w:rPr>
        <w:tab/>
        <w:t>Specimens required for TSE exclusion</w:t>
      </w:r>
    </w:p>
    <w:p w14:paraId="5109C1E1" w14:textId="77777777" w:rsidR="006B5F2A" w:rsidRPr="00A92D3F" w:rsidRDefault="006B5F2A" w:rsidP="00A94EE1">
      <w:pPr>
        <w:numPr>
          <w:ilvl w:val="0"/>
          <w:numId w:val="10"/>
        </w:numPr>
        <w:rPr>
          <w:rFonts w:asciiTheme="minorHAnsi" w:hAnsiTheme="minorHAnsi" w:cstheme="minorHAnsi"/>
          <w:sz w:val="22"/>
        </w:rPr>
      </w:pPr>
      <w:r w:rsidRPr="00A92D3F">
        <w:rPr>
          <w:rFonts w:asciiTheme="minorHAnsi" w:hAnsiTheme="minorHAnsi" w:cstheme="minorHAnsi"/>
          <w:sz w:val="22"/>
        </w:rPr>
        <w:t>Whole intact brain should be collected and fixed in 10% neutral buffered formalin for histological examination. Submission of the entire brain to the laboratory facilitates provision of information that might contribute to differential diagnosis and reduces the opportunity that a TSE case might be missed.</w:t>
      </w:r>
    </w:p>
    <w:p w14:paraId="7E5FACA0" w14:textId="55BCC0D1" w:rsidR="006B5F2A" w:rsidRPr="00A92D3F" w:rsidRDefault="006B5F2A" w:rsidP="00A94EE1">
      <w:pPr>
        <w:numPr>
          <w:ilvl w:val="0"/>
          <w:numId w:val="10"/>
        </w:numPr>
        <w:rPr>
          <w:rFonts w:asciiTheme="minorHAnsi" w:hAnsiTheme="minorHAnsi" w:cstheme="minorHAnsi"/>
          <w:sz w:val="22"/>
        </w:rPr>
      </w:pPr>
      <w:r w:rsidRPr="00A92D3F">
        <w:rPr>
          <w:rFonts w:asciiTheme="minorHAnsi" w:hAnsiTheme="minorHAnsi" w:cstheme="minorHAnsi"/>
          <w:sz w:val="22"/>
        </w:rPr>
        <w:t xml:space="preserve">Cervical spinal cord segment(s), retrieved from the exposed cranial surface of the atlas following removal of the head, stored </w:t>
      </w:r>
      <w:r w:rsidRPr="00A92D3F">
        <w:rPr>
          <w:rFonts w:asciiTheme="minorHAnsi" w:hAnsiTheme="minorHAnsi" w:cstheme="minorHAnsi"/>
          <w:i/>
          <w:sz w:val="22"/>
        </w:rPr>
        <w:t>without fixation</w:t>
      </w:r>
      <w:r w:rsidRPr="00A92D3F">
        <w:rPr>
          <w:rFonts w:asciiTheme="minorHAnsi" w:hAnsiTheme="minorHAnsi" w:cstheme="minorHAnsi"/>
          <w:sz w:val="22"/>
        </w:rPr>
        <w:t xml:space="preserve"> </w:t>
      </w:r>
      <w:r w:rsidR="00E4420B">
        <w:rPr>
          <w:rFonts w:asciiTheme="minorHAnsi" w:hAnsiTheme="minorHAnsi" w:cstheme="minorHAnsi"/>
          <w:sz w:val="22"/>
        </w:rPr>
        <w:t xml:space="preserve">at </w:t>
      </w:r>
      <w:r w:rsidRPr="00A92D3F">
        <w:rPr>
          <w:rFonts w:asciiTheme="minorHAnsi" w:hAnsiTheme="minorHAnsi" w:cstheme="minorHAnsi"/>
          <w:sz w:val="22"/>
        </w:rPr>
        <w:t>-20</w:t>
      </w:r>
      <w:r w:rsidRPr="00A92D3F">
        <w:rPr>
          <w:rFonts w:asciiTheme="minorHAnsi" w:hAnsiTheme="minorHAnsi" w:cstheme="minorHAnsi"/>
          <w:sz w:val="22"/>
          <w:vertAlign w:val="superscript"/>
        </w:rPr>
        <w:t>0</w:t>
      </w:r>
      <w:r w:rsidRPr="00A92D3F">
        <w:rPr>
          <w:rFonts w:asciiTheme="minorHAnsi" w:hAnsiTheme="minorHAnsi" w:cstheme="minorHAnsi"/>
          <w:sz w:val="22"/>
        </w:rPr>
        <w:t xml:space="preserve"> C or below for further testing where indicated.</w:t>
      </w:r>
    </w:p>
    <w:p w14:paraId="376E78CD" w14:textId="77777777" w:rsidR="006B5F2A" w:rsidRDefault="006B5F2A" w:rsidP="00A94EE1">
      <w:pPr>
        <w:numPr>
          <w:ilvl w:val="0"/>
          <w:numId w:val="10"/>
        </w:numPr>
        <w:rPr>
          <w:rFonts w:asciiTheme="minorHAnsi" w:hAnsiTheme="minorHAnsi" w:cstheme="minorHAnsi"/>
          <w:sz w:val="22"/>
        </w:rPr>
      </w:pPr>
      <w:r w:rsidRPr="00A92D3F">
        <w:rPr>
          <w:rFonts w:asciiTheme="minorHAnsi" w:hAnsiTheme="minorHAnsi" w:cstheme="minorHAnsi"/>
          <w:sz w:val="22"/>
        </w:rPr>
        <w:t>Representative samples of lymphoid tissues including spleen, tonsil, Peyer’s patches and lymph nodes fixed in 10% neutral buffered formalin and also stored frozen without fixation (as above).</w:t>
      </w:r>
    </w:p>
    <w:p w14:paraId="241D21EC" w14:textId="77777777" w:rsidR="00A94EE1" w:rsidRPr="00A92D3F" w:rsidRDefault="00A94EE1" w:rsidP="00A94EE1">
      <w:pPr>
        <w:ind w:left="720"/>
        <w:rPr>
          <w:rFonts w:asciiTheme="minorHAnsi" w:hAnsiTheme="minorHAnsi" w:cstheme="minorHAnsi"/>
          <w:sz w:val="22"/>
        </w:rPr>
      </w:pPr>
    </w:p>
    <w:p w14:paraId="0CAB1F39" w14:textId="77777777" w:rsidR="006B5F2A" w:rsidRPr="00A92D3F" w:rsidRDefault="006B5F2A" w:rsidP="006B5F2A">
      <w:pPr>
        <w:rPr>
          <w:rFonts w:asciiTheme="minorHAnsi" w:hAnsiTheme="minorHAnsi" w:cstheme="minorHAnsi"/>
        </w:rPr>
      </w:pPr>
      <w:r w:rsidRPr="00A92D3F">
        <w:rPr>
          <w:rFonts w:asciiTheme="minorHAnsi" w:hAnsiTheme="minorHAnsi" w:cstheme="minorHAnsi"/>
        </w:rPr>
        <w:t>6.</w:t>
      </w:r>
      <w:r w:rsidRPr="00A92D3F">
        <w:rPr>
          <w:rFonts w:asciiTheme="minorHAnsi" w:hAnsiTheme="minorHAnsi" w:cstheme="minorHAnsi"/>
        </w:rPr>
        <w:tab/>
      </w:r>
      <w:r w:rsidRPr="00A92D3F">
        <w:rPr>
          <w:rFonts w:asciiTheme="minorHAnsi" w:hAnsiTheme="minorHAnsi" w:cstheme="minorHAnsi"/>
          <w:b/>
        </w:rPr>
        <w:t>Transport of specimens</w:t>
      </w:r>
    </w:p>
    <w:p w14:paraId="1BD981EF" w14:textId="77777777" w:rsidR="006B5F2A" w:rsidRPr="00A92D3F" w:rsidRDefault="006B5F2A" w:rsidP="006B5F2A">
      <w:pPr>
        <w:ind w:left="360"/>
        <w:rPr>
          <w:rFonts w:asciiTheme="minorHAnsi" w:hAnsiTheme="minorHAnsi" w:cstheme="minorHAnsi"/>
          <w:sz w:val="22"/>
          <w:szCs w:val="22"/>
        </w:rPr>
      </w:pPr>
      <w:r w:rsidRPr="00A92D3F">
        <w:rPr>
          <w:rFonts w:asciiTheme="minorHAnsi" w:hAnsiTheme="minorHAnsi" w:cstheme="minorHAnsi"/>
          <w:sz w:val="22"/>
          <w:szCs w:val="22"/>
        </w:rPr>
        <w:t>When transporting specimens the following advisory needs to be observed.</w:t>
      </w:r>
    </w:p>
    <w:tbl>
      <w:tblPr>
        <w:tblpPr w:leftFromText="180" w:rightFromText="180" w:vertAnchor="text" w:horzAnchor="margin" w:tblpY="2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B5F2A" w:rsidRPr="00A92D3F" w14:paraId="63CBD0AE" w14:textId="77777777" w:rsidTr="009D3CE6">
        <w:trPr>
          <w:cantSplit/>
        </w:trPr>
        <w:tc>
          <w:tcPr>
            <w:tcW w:w="8522" w:type="dxa"/>
          </w:tcPr>
          <w:p w14:paraId="025A7875" w14:textId="77777777" w:rsidR="006B5F2A" w:rsidRPr="00E4420B" w:rsidRDefault="006B5F2A" w:rsidP="009D3CE6">
            <w:pPr>
              <w:rPr>
                <w:rFonts w:asciiTheme="minorHAnsi" w:hAnsiTheme="minorHAnsi" w:cstheme="minorHAnsi"/>
                <w:sz w:val="22"/>
                <w:szCs w:val="22"/>
              </w:rPr>
            </w:pPr>
            <w:r w:rsidRPr="00E4420B">
              <w:rPr>
                <w:rFonts w:asciiTheme="minorHAnsi" w:hAnsiTheme="minorHAnsi" w:cstheme="minorHAnsi"/>
                <w:sz w:val="22"/>
                <w:szCs w:val="22"/>
              </w:rPr>
              <w:t>Formaldehyde solutions containing less than 25%, but 10% or more formaldehyde must be shipped under the Proper Shipping Name ‘</w:t>
            </w:r>
            <w:r w:rsidRPr="00E4420B">
              <w:rPr>
                <w:rFonts w:asciiTheme="minorHAnsi" w:hAnsiTheme="minorHAnsi" w:cstheme="minorHAnsi"/>
                <w:b/>
                <w:sz w:val="22"/>
                <w:szCs w:val="22"/>
              </w:rPr>
              <w:t>Aviation regulated liquid, n.o.s.</w:t>
            </w:r>
            <w:r w:rsidRPr="00E4420B">
              <w:rPr>
                <w:rFonts w:asciiTheme="minorHAnsi" w:hAnsiTheme="minorHAnsi" w:cstheme="minorHAnsi"/>
                <w:sz w:val="22"/>
                <w:szCs w:val="22"/>
              </w:rPr>
              <w:t>’  (Class 9 miscellaneous Dangerous Goods)</w:t>
            </w:r>
            <w:r w:rsidRPr="00E4420B">
              <w:rPr>
                <w:rStyle w:val="FootnoteReference"/>
                <w:rFonts w:asciiTheme="minorHAnsi" w:hAnsiTheme="minorHAnsi" w:cstheme="minorHAnsi"/>
                <w:sz w:val="22"/>
                <w:szCs w:val="22"/>
              </w:rPr>
              <w:footnoteReference w:id="3"/>
            </w:r>
          </w:p>
        </w:tc>
      </w:tr>
    </w:tbl>
    <w:p w14:paraId="47892FC3" w14:textId="77777777" w:rsidR="006B5F2A" w:rsidRPr="00A92D3F" w:rsidRDefault="006B5F2A" w:rsidP="006B5F2A">
      <w:pPr>
        <w:rPr>
          <w:rFonts w:asciiTheme="minorHAnsi" w:hAnsiTheme="minorHAnsi" w:cstheme="minorHAnsi"/>
          <w:b/>
          <w:sz w:val="22"/>
          <w:szCs w:val="22"/>
        </w:rPr>
      </w:pPr>
    </w:p>
    <w:p w14:paraId="401E6A83" w14:textId="77777777" w:rsidR="007E117F" w:rsidRDefault="007E117F" w:rsidP="006B5F2A">
      <w:pPr>
        <w:rPr>
          <w:rFonts w:asciiTheme="minorHAnsi" w:hAnsiTheme="minorHAnsi" w:cstheme="minorHAnsi"/>
          <w:b/>
          <w:sz w:val="22"/>
          <w:szCs w:val="22"/>
        </w:rPr>
      </w:pPr>
    </w:p>
    <w:p w14:paraId="69E9018C" w14:textId="77777777" w:rsidR="007E117F" w:rsidRDefault="007E117F" w:rsidP="006B5F2A">
      <w:pPr>
        <w:rPr>
          <w:rFonts w:asciiTheme="minorHAnsi" w:hAnsiTheme="minorHAnsi" w:cstheme="minorHAnsi"/>
          <w:b/>
          <w:sz w:val="22"/>
          <w:szCs w:val="22"/>
        </w:rPr>
      </w:pPr>
    </w:p>
    <w:p w14:paraId="74FA26E0" w14:textId="2E1B6EF5" w:rsidR="006B5F2A" w:rsidRPr="00A92D3F" w:rsidRDefault="006B5F2A" w:rsidP="006B5F2A">
      <w:pPr>
        <w:rPr>
          <w:rFonts w:asciiTheme="minorHAnsi" w:hAnsiTheme="minorHAnsi" w:cstheme="minorHAnsi"/>
          <w:sz w:val="22"/>
          <w:szCs w:val="22"/>
        </w:rPr>
        <w:sectPr w:rsidR="006B5F2A" w:rsidRPr="00A92D3F" w:rsidSect="00F76249">
          <w:footerReference w:type="default" r:id="rId17"/>
          <w:pgSz w:w="11906" w:h="16838"/>
          <w:pgMar w:top="1440" w:right="1466" w:bottom="1080" w:left="1418" w:header="720" w:footer="691" w:gutter="0"/>
          <w:cols w:space="708"/>
          <w:docGrid w:linePitch="360"/>
        </w:sectPr>
      </w:pPr>
      <w:r w:rsidRPr="00A92D3F">
        <w:rPr>
          <w:rFonts w:asciiTheme="minorHAnsi" w:hAnsiTheme="minorHAnsi" w:cstheme="minorHAnsi"/>
          <w:b/>
          <w:sz w:val="22"/>
          <w:szCs w:val="22"/>
        </w:rPr>
        <w:t>NB:</w:t>
      </w:r>
      <w:r w:rsidRPr="00A92D3F">
        <w:rPr>
          <w:rFonts w:asciiTheme="minorHAnsi" w:hAnsiTheme="minorHAnsi" w:cstheme="minorHAnsi"/>
          <w:sz w:val="22"/>
          <w:szCs w:val="22"/>
        </w:rPr>
        <w:t xml:space="preserve"> Refer to the </w:t>
      </w:r>
      <w:r w:rsidR="00E4420B">
        <w:rPr>
          <w:rFonts w:asciiTheme="minorHAnsi" w:hAnsiTheme="minorHAnsi" w:cstheme="minorHAnsi"/>
          <w:sz w:val="22"/>
          <w:szCs w:val="22"/>
        </w:rPr>
        <w:t>National TSE Surveillance Project</w:t>
      </w:r>
      <w:r w:rsidRPr="00A92D3F">
        <w:rPr>
          <w:rFonts w:asciiTheme="minorHAnsi" w:hAnsiTheme="minorHAnsi" w:cstheme="minorHAnsi"/>
          <w:sz w:val="22"/>
          <w:szCs w:val="22"/>
        </w:rPr>
        <w:t xml:space="preserve"> (NTSESP) National Guidelines for Field Operations for further detail on sampling requirements</w:t>
      </w:r>
    </w:p>
    <w:p w14:paraId="3BB253D0" w14:textId="77777777" w:rsidR="006B5F2A" w:rsidRPr="00A92D3F" w:rsidRDefault="006B5F2A" w:rsidP="006B5F2A">
      <w:pPr>
        <w:pStyle w:val="Heading2"/>
        <w:rPr>
          <w:rFonts w:cstheme="minorHAnsi"/>
        </w:rPr>
      </w:pPr>
      <w:bookmarkStart w:id="41" w:name="_Toc398561844"/>
      <w:bookmarkStart w:id="42" w:name="_Toc465089724"/>
      <w:r w:rsidRPr="00A92D3F">
        <w:rPr>
          <w:rFonts w:cstheme="minorHAnsi"/>
        </w:rPr>
        <w:t>ANNEX 2</w:t>
      </w:r>
      <w:bookmarkEnd w:id="41"/>
      <w:bookmarkEnd w:id="42"/>
    </w:p>
    <w:p w14:paraId="434636E4" w14:textId="77777777" w:rsidR="006B5F2A" w:rsidRPr="00A92D3F" w:rsidRDefault="00A94EE1" w:rsidP="006B5F2A">
      <w:pPr>
        <w:pStyle w:val="Heading2"/>
        <w:rPr>
          <w:rFonts w:cstheme="minorHAnsi"/>
        </w:rPr>
      </w:pPr>
      <w:bookmarkStart w:id="43" w:name="_Toc398561845"/>
      <w:bookmarkStart w:id="44" w:name="_Toc465089725"/>
      <w:r w:rsidRPr="00A92D3F">
        <w:rPr>
          <w:rFonts w:cstheme="minorHAnsi"/>
          <w:caps w:val="0"/>
        </w:rPr>
        <w:t>Safety equipment that may be suggested for use with post mortem examinations fro</w:t>
      </w:r>
      <w:r>
        <w:rPr>
          <w:rFonts w:cstheme="minorHAnsi"/>
          <w:caps w:val="0"/>
        </w:rPr>
        <w:t>m designated zoo animals for TSE</w:t>
      </w:r>
      <w:r w:rsidRPr="00A92D3F">
        <w:rPr>
          <w:rFonts w:cstheme="minorHAnsi"/>
          <w:caps w:val="0"/>
        </w:rPr>
        <w:t xml:space="preserve"> exclusion</w:t>
      </w:r>
      <w:bookmarkEnd w:id="43"/>
      <w:bookmarkEnd w:id="4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327"/>
        <w:gridCol w:w="1293"/>
        <w:gridCol w:w="1158"/>
        <w:gridCol w:w="236"/>
      </w:tblGrid>
      <w:tr w:rsidR="006B5F2A" w:rsidRPr="00A92D3F" w14:paraId="0923B528" w14:textId="77777777" w:rsidTr="00E4420B">
        <w:tc>
          <w:tcPr>
            <w:tcW w:w="5508" w:type="dxa"/>
            <w:tcBorders>
              <w:right w:val="nil"/>
            </w:tcBorders>
          </w:tcPr>
          <w:p w14:paraId="69105D70" w14:textId="77777777" w:rsidR="006B5F2A" w:rsidRPr="00A92D3F" w:rsidRDefault="006B5F2A" w:rsidP="009D3CE6">
            <w:pPr>
              <w:rPr>
                <w:rFonts w:asciiTheme="minorHAnsi" w:hAnsiTheme="minorHAnsi" w:cstheme="minorHAnsi"/>
              </w:rPr>
            </w:pPr>
            <w:r w:rsidRPr="00A92D3F">
              <w:rPr>
                <w:rFonts w:asciiTheme="minorHAnsi" w:hAnsiTheme="minorHAnsi" w:cstheme="minorHAnsi"/>
              </w:rPr>
              <w:t>Apron</w:t>
            </w:r>
            <w:r w:rsidRPr="00A92D3F">
              <w:rPr>
                <w:rFonts w:asciiTheme="minorHAnsi" w:hAnsiTheme="minorHAnsi" w:cstheme="minorHAnsi"/>
                <w:sz w:val="20"/>
              </w:rPr>
              <w:t xml:space="preserve"> </w:t>
            </w:r>
          </w:p>
        </w:tc>
        <w:tc>
          <w:tcPr>
            <w:tcW w:w="1620" w:type="dxa"/>
            <w:gridSpan w:val="2"/>
            <w:tcBorders>
              <w:left w:val="nil"/>
              <w:bottom w:val="single" w:sz="4" w:space="0" w:color="auto"/>
              <w:right w:val="nil"/>
            </w:tcBorders>
          </w:tcPr>
          <w:p w14:paraId="33DD6E13" w14:textId="77777777" w:rsidR="006B5F2A" w:rsidRPr="00A92D3F" w:rsidRDefault="006B5F2A" w:rsidP="009D3CE6">
            <w:pPr>
              <w:rPr>
                <w:rFonts w:asciiTheme="minorHAnsi" w:hAnsiTheme="minorHAnsi" w:cstheme="minorHAnsi"/>
              </w:rPr>
            </w:pPr>
            <w:r w:rsidRPr="00A92D3F">
              <w:rPr>
                <w:rFonts w:asciiTheme="minorHAnsi" w:hAnsiTheme="minorHAnsi" w:cstheme="minorHAnsi"/>
                <w:sz w:val="20"/>
              </w:rPr>
              <w:t xml:space="preserve"> </w:t>
            </w:r>
          </w:p>
        </w:tc>
        <w:tc>
          <w:tcPr>
            <w:tcW w:w="1394" w:type="dxa"/>
            <w:gridSpan w:val="2"/>
            <w:tcBorders>
              <w:left w:val="nil"/>
              <w:bottom w:val="single" w:sz="4" w:space="0" w:color="auto"/>
            </w:tcBorders>
          </w:tcPr>
          <w:p w14:paraId="50D4A751" w14:textId="77777777" w:rsidR="006B5F2A" w:rsidRPr="00A92D3F" w:rsidRDefault="006B5F2A" w:rsidP="009D3CE6">
            <w:pPr>
              <w:pStyle w:val="EndnoteText"/>
              <w:rPr>
                <w:rFonts w:asciiTheme="minorHAnsi" w:hAnsiTheme="minorHAnsi" w:cstheme="minorHAnsi"/>
              </w:rPr>
            </w:pPr>
          </w:p>
        </w:tc>
      </w:tr>
      <w:tr w:rsidR="006B5F2A" w:rsidRPr="00A92D3F" w14:paraId="6DB4BDAE" w14:textId="77777777" w:rsidTr="00E4420B">
        <w:tc>
          <w:tcPr>
            <w:tcW w:w="5508" w:type="dxa"/>
            <w:tcBorders>
              <w:right w:val="nil"/>
            </w:tcBorders>
          </w:tcPr>
          <w:p w14:paraId="39E97422" w14:textId="77777777" w:rsidR="006B5F2A" w:rsidRPr="00A92D3F" w:rsidRDefault="006B5F2A" w:rsidP="009D3CE6">
            <w:pPr>
              <w:rPr>
                <w:rFonts w:asciiTheme="minorHAnsi" w:hAnsiTheme="minorHAnsi" w:cstheme="minorHAnsi"/>
                <w:b/>
              </w:rPr>
            </w:pPr>
            <w:r w:rsidRPr="00A92D3F">
              <w:rPr>
                <w:rFonts w:asciiTheme="minorHAnsi" w:hAnsiTheme="minorHAnsi" w:cstheme="minorHAnsi"/>
              </w:rPr>
              <w:t>Over-pants Rubber</w:t>
            </w:r>
            <w:r w:rsidRPr="00A92D3F">
              <w:rPr>
                <w:rFonts w:asciiTheme="minorHAnsi" w:hAnsiTheme="minorHAnsi" w:cstheme="minorHAnsi"/>
                <w:b/>
              </w:rPr>
              <w:t xml:space="preserve"> </w:t>
            </w:r>
          </w:p>
        </w:tc>
        <w:tc>
          <w:tcPr>
            <w:tcW w:w="1620" w:type="dxa"/>
            <w:gridSpan w:val="2"/>
            <w:tcBorders>
              <w:left w:val="nil"/>
              <w:bottom w:val="single" w:sz="4" w:space="0" w:color="auto"/>
              <w:right w:val="nil"/>
            </w:tcBorders>
          </w:tcPr>
          <w:p w14:paraId="4C190375" w14:textId="77777777" w:rsidR="006B5F2A" w:rsidRPr="00A92D3F" w:rsidRDefault="006B5F2A" w:rsidP="009D3CE6">
            <w:pPr>
              <w:rPr>
                <w:rFonts w:asciiTheme="minorHAnsi" w:hAnsiTheme="minorHAnsi" w:cstheme="minorHAnsi"/>
              </w:rPr>
            </w:pPr>
          </w:p>
        </w:tc>
        <w:tc>
          <w:tcPr>
            <w:tcW w:w="1394" w:type="dxa"/>
            <w:gridSpan w:val="2"/>
            <w:tcBorders>
              <w:left w:val="nil"/>
              <w:bottom w:val="single" w:sz="4" w:space="0" w:color="auto"/>
            </w:tcBorders>
          </w:tcPr>
          <w:p w14:paraId="76A687CD" w14:textId="77777777" w:rsidR="006B5F2A" w:rsidRPr="00A92D3F" w:rsidRDefault="006B5F2A" w:rsidP="009D3CE6">
            <w:pPr>
              <w:rPr>
                <w:rFonts w:asciiTheme="minorHAnsi" w:hAnsiTheme="minorHAnsi" w:cstheme="minorHAnsi"/>
                <w:sz w:val="20"/>
              </w:rPr>
            </w:pPr>
          </w:p>
        </w:tc>
      </w:tr>
      <w:tr w:rsidR="006B5F2A" w:rsidRPr="00A92D3F" w14:paraId="4F121682" w14:textId="77777777" w:rsidTr="00E4420B">
        <w:tc>
          <w:tcPr>
            <w:tcW w:w="5508" w:type="dxa"/>
            <w:tcBorders>
              <w:right w:val="nil"/>
            </w:tcBorders>
          </w:tcPr>
          <w:p w14:paraId="49DD9FF1" w14:textId="77777777" w:rsidR="006B5F2A" w:rsidRPr="00A92D3F" w:rsidRDefault="006B5F2A" w:rsidP="009D3CE6">
            <w:pPr>
              <w:rPr>
                <w:rFonts w:asciiTheme="minorHAnsi" w:hAnsiTheme="minorHAnsi" w:cstheme="minorHAnsi"/>
              </w:rPr>
            </w:pPr>
            <w:r w:rsidRPr="00A92D3F">
              <w:rPr>
                <w:rFonts w:asciiTheme="minorHAnsi" w:hAnsiTheme="minorHAnsi" w:cstheme="minorHAnsi"/>
              </w:rPr>
              <w:t xml:space="preserve">Kevlar cut resistant gloves </w:t>
            </w:r>
          </w:p>
        </w:tc>
        <w:tc>
          <w:tcPr>
            <w:tcW w:w="1620" w:type="dxa"/>
            <w:gridSpan w:val="2"/>
            <w:tcBorders>
              <w:top w:val="nil"/>
              <w:left w:val="nil"/>
              <w:bottom w:val="single" w:sz="4" w:space="0" w:color="auto"/>
              <w:right w:val="nil"/>
            </w:tcBorders>
          </w:tcPr>
          <w:p w14:paraId="564DB166" w14:textId="77777777" w:rsidR="006B5F2A" w:rsidRPr="00A92D3F" w:rsidRDefault="006B5F2A" w:rsidP="009D3CE6">
            <w:pPr>
              <w:jc w:val="center"/>
              <w:rPr>
                <w:rFonts w:asciiTheme="minorHAnsi" w:hAnsiTheme="minorHAnsi" w:cstheme="minorHAnsi"/>
              </w:rPr>
            </w:pPr>
            <w:r w:rsidRPr="00A92D3F">
              <w:rPr>
                <w:rFonts w:asciiTheme="minorHAnsi" w:hAnsiTheme="minorHAnsi" w:cstheme="minorHAnsi"/>
                <w:noProof/>
                <w:lang w:eastAsia="en-AU"/>
              </w:rPr>
              <w:drawing>
                <wp:inline distT="0" distB="0" distL="0" distR="0" wp14:anchorId="00DB0AAA" wp14:editId="6E34D407">
                  <wp:extent cx="581025" cy="800100"/>
                  <wp:effectExtent l="0" t="0" r="9525" b="0"/>
                  <wp:docPr id="15" name="Picture 15" descr="glove kev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glove kevl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 cy="800100"/>
                          </a:xfrm>
                          <a:prstGeom prst="rect">
                            <a:avLst/>
                          </a:prstGeom>
                          <a:noFill/>
                          <a:ln>
                            <a:noFill/>
                          </a:ln>
                        </pic:spPr>
                      </pic:pic>
                    </a:graphicData>
                  </a:graphic>
                </wp:inline>
              </w:drawing>
            </w:r>
          </w:p>
        </w:tc>
        <w:tc>
          <w:tcPr>
            <w:tcW w:w="1394" w:type="dxa"/>
            <w:gridSpan w:val="2"/>
            <w:tcBorders>
              <w:top w:val="nil"/>
              <w:left w:val="nil"/>
              <w:bottom w:val="single" w:sz="4" w:space="0" w:color="auto"/>
            </w:tcBorders>
          </w:tcPr>
          <w:p w14:paraId="7D9B6F84" w14:textId="77777777" w:rsidR="006B5F2A" w:rsidRPr="00A92D3F" w:rsidRDefault="006B5F2A" w:rsidP="009D3CE6">
            <w:pPr>
              <w:pStyle w:val="EndnoteText"/>
              <w:rPr>
                <w:rFonts w:asciiTheme="minorHAnsi" w:hAnsiTheme="minorHAnsi" w:cstheme="minorHAnsi"/>
              </w:rPr>
            </w:pPr>
          </w:p>
        </w:tc>
      </w:tr>
      <w:tr w:rsidR="006B5F2A" w:rsidRPr="00A92D3F" w14:paraId="1CCF9E0A" w14:textId="77777777" w:rsidTr="00E4420B">
        <w:tc>
          <w:tcPr>
            <w:tcW w:w="5508" w:type="dxa"/>
            <w:tcBorders>
              <w:right w:val="nil"/>
            </w:tcBorders>
          </w:tcPr>
          <w:p w14:paraId="03F6674D" w14:textId="77777777" w:rsidR="006B5F2A" w:rsidRPr="00A92D3F" w:rsidRDefault="006B5F2A" w:rsidP="009D3CE6">
            <w:pPr>
              <w:rPr>
                <w:rFonts w:asciiTheme="minorHAnsi" w:hAnsiTheme="minorHAnsi" w:cstheme="minorHAnsi"/>
              </w:rPr>
            </w:pPr>
            <w:r w:rsidRPr="00A92D3F">
              <w:rPr>
                <w:rFonts w:asciiTheme="minorHAnsi" w:hAnsiTheme="minorHAnsi" w:cstheme="minorHAnsi"/>
              </w:rPr>
              <w:t>Tyvec overall</w:t>
            </w:r>
          </w:p>
          <w:p w14:paraId="1EE5A1EF" w14:textId="77777777" w:rsidR="006B5F2A" w:rsidRPr="00A92D3F" w:rsidRDefault="006B5F2A" w:rsidP="009D3CE6">
            <w:pPr>
              <w:rPr>
                <w:rFonts w:asciiTheme="minorHAnsi" w:hAnsiTheme="minorHAnsi" w:cstheme="minorHAnsi"/>
                <w:sz w:val="20"/>
              </w:rPr>
            </w:pPr>
            <w:r w:rsidRPr="00A92D3F">
              <w:rPr>
                <w:rFonts w:asciiTheme="minorHAnsi" w:hAnsiTheme="minorHAnsi" w:cstheme="minorHAnsi"/>
                <w:sz w:val="20"/>
              </w:rPr>
              <w:t>Coveralls disposable Tyvek</w:t>
            </w:r>
          </w:p>
          <w:p w14:paraId="6A8200B3" w14:textId="77777777" w:rsidR="006B5F2A" w:rsidRPr="00A92D3F" w:rsidRDefault="006B5F2A" w:rsidP="009D3CE6">
            <w:pPr>
              <w:tabs>
                <w:tab w:val="left" w:pos="943"/>
                <w:tab w:val="left" w:pos="1018"/>
                <w:tab w:val="left" w:pos="3386"/>
              </w:tabs>
              <w:rPr>
                <w:rFonts w:asciiTheme="minorHAnsi" w:eastAsia="Arial Unicode MS" w:hAnsiTheme="minorHAnsi" w:cstheme="minorHAnsi"/>
                <w:color w:val="000000"/>
              </w:rPr>
            </w:pPr>
            <w:r w:rsidRPr="00A92D3F">
              <w:rPr>
                <w:rFonts w:asciiTheme="minorHAnsi" w:eastAsia="Arial Unicode MS" w:hAnsiTheme="minorHAnsi" w:cstheme="minorHAnsi"/>
                <w:color w:val="000000"/>
                <w:sz w:val="20"/>
              </w:rPr>
              <w:t>O</w:t>
            </w:r>
            <w:r w:rsidRPr="00A92D3F">
              <w:rPr>
                <w:rFonts w:asciiTheme="minorHAnsi" w:hAnsiTheme="minorHAnsi" w:cstheme="minorHAnsi"/>
                <w:sz w:val="20"/>
              </w:rPr>
              <w:t xml:space="preserve">veralls Kleenguard® </w:t>
            </w:r>
          </w:p>
          <w:p w14:paraId="1861B9AF" w14:textId="77777777" w:rsidR="006B5F2A" w:rsidRPr="00A92D3F" w:rsidRDefault="006B5F2A" w:rsidP="009D3CE6">
            <w:pPr>
              <w:rPr>
                <w:rFonts w:asciiTheme="minorHAnsi" w:hAnsiTheme="minorHAnsi" w:cstheme="minorHAnsi"/>
              </w:rPr>
            </w:pPr>
          </w:p>
          <w:p w14:paraId="781D1C34" w14:textId="77777777" w:rsidR="006B5F2A" w:rsidRPr="00A92D3F" w:rsidRDefault="006B5F2A" w:rsidP="009D3CE6">
            <w:pPr>
              <w:rPr>
                <w:rFonts w:asciiTheme="minorHAnsi" w:hAnsiTheme="minorHAnsi" w:cstheme="minorHAnsi"/>
              </w:rPr>
            </w:pPr>
          </w:p>
        </w:tc>
        <w:tc>
          <w:tcPr>
            <w:tcW w:w="1620" w:type="dxa"/>
            <w:gridSpan w:val="2"/>
            <w:tcBorders>
              <w:top w:val="nil"/>
              <w:left w:val="nil"/>
              <w:right w:val="nil"/>
            </w:tcBorders>
          </w:tcPr>
          <w:p w14:paraId="0FCFE87C" w14:textId="515F37F8" w:rsidR="006B5F2A" w:rsidRPr="00A92D3F" w:rsidRDefault="00807716" w:rsidP="009D3CE6">
            <w:pPr>
              <w:jc w:val="center"/>
              <w:rPr>
                <w:rFonts w:asciiTheme="minorHAnsi" w:hAnsiTheme="minorHAnsi" w:cstheme="minorHAnsi"/>
              </w:rPr>
            </w:pPr>
            <w:r>
              <w:rPr>
                <w:rFonts w:asciiTheme="minorHAnsi" w:hAnsiTheme="minorHAnsi" w:cstheme="minorHAnsi"/>
                <w:noProof/>
                <w:lang w:eastAsia="en-AU"/>
              </w:rPr>
              <w:drawing>
                <wp:inline distT="0" distB="0" distL="0" distR="0" wp14:anchorId="41375FDC" wp14:editId="7234098C">
                  <wp:extent cx="464820" cy="1188720"/>
                  <wp:effectExtent l="0" t="0" r="0" b="0"/>
                  <wp:docPr id="1" name="Picture 2" descr="http://www.protectorsupply.com.au/image_store/80/8/80859686182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tectorsupply.com.au/image_store/80/8/8085968618201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1188720"/>
                          </a:xfrm>
                          <a:prstGeom prst="rect">
                            <a:avLst/>
                          </a:prstGeom>
                          <a:noFill/>
                          <a:ln>
                            <a:noFill/>
                          </a:ln>
                        </pic:spPr>
                      </pic:pic>
                    </a:graphicData>
                  </a:graphic>
                </wp:inline>
              </w:drawing>
            </w:r>
          </w:p>
        </w:tc>
        <w:tc>
          <w:tcPr>
            <w:tcW w:w="1394" w:type="dxa"/>
            <w:gridSpan w:val="2"/>
            <w:tcBorders>
              <w:top w:val="nil"/>
              <w:left w:val="nil"/>
            </w:tcBorders>
          </w:tcPr>
          <w:p w14:paraId="36169E9C" w14:textId="77777777" w:rsidR="006B5F2A" w:rsidRPr="00A92D3F" w:rsidRDefault="006B5F2A" w:rsidP="009D3CE6">
            <w:pPr>
              <w:pStyle w:val="EndnoteText"/>
              <w:rPr>
                <w:rFonts w:asciiTheme="minorHAnsi" w:hAnsiTheme="minorHAnsi" w:cstheme="minorHAnsi"/>
              </w:rPr>
            </w:pPr>
          </w:p>
        </w:tc>
      </w:tr>
      <w:tr w:rsidR="006B5F2A" w:rsidRPr="00A92D3F" w14:paraId="6E8F4B78" w14:textId="77777777" w:rsidTr="00E4420B">
        <w:tc>
          <w:tcPr>
            <w:tcW w:w="5835" w:type="dxa"/>
            <w:gridSpan w:val="2"/>
            <w:tcBorders>
              <w:right w:val="nil"/>
            </w:tcBorders>
          </w:tcPr>
          <w:p w14:paraId="63EEB787" w14:textId="77777777" w:rsidR="006B5F2A" w:rsidRPr="00A92D3F" w:rsidRDefault="006B5F2A" w:rsidP="009D3CE6">
            <w:pPr>
              <w:rPr>
                <w:rFonts w:asciiTheme="minorHAnsi" w:hAnsiTheme="minorHAnsi" w:cstheme="minorHAnsi"/>
              </w:rPr>
            </w:pPr>
            <w:r w:rsidRPr="00A92D3F">
              <w:rPr>
                <w:rFonts w:asciiTheme="minorHAnsi" w:hAnsiTheme="minorHAnsi" w:cstheme="minorHAnsi"/>
              </w:rPr>
              <w:t xml:space="preserve">RBF (Reusable Barrier Fabric) </w:t>
            </w:r>
            <w:r w:rsidRPr="00A92D3F">
              <w:rPr>
                <w:rFonts w:asciiTheme="minorHAnsi" w:hAnsiTheme="minorHAnsi" w:cstheme="minorHAnsi"/>
                <w:sz w:val="20"/>
              </w:rPr>
              <w:t>theatre gowns, suits, footwear, headwear, drapes, wraps etc., all with excellent fluid resistance</w:t>
            </w:r>
          </w:p>
        </w:tc>
        <w:tc>
          <w:tcPr>
            <w:tcW w:w="2451" w:type="dxa"/>
            <w:gridSpan w:val="2"/>
            <w:tcBorders>
              <w:left w:val="nil"/>
              <w:right w:val="nil"/>
            </w:tcBorders>
          </w:tcPr>
          <w:p w14:paraId="5803A456" w14:textId="77777777" w:rsidR="006B5F2A" w:rsidRPr="00A92D3F" w:rsidRDefault="006B5F2A" w:rsidP="009D3CE6">
            <w:pPr>
              <w:jc w:val="center"/>
              <w:rPr>
                <w:rFonts w:asciiTheme="minorHAnsi" w:hAnsiTheme="minorHAnsi" w:cstheme="minorHAnsi"/>
              </w:rPr>
            </w:pPr>
            <w:r w:rsidRPr="00A92D3F">
              <w:rPr>
                <w:rFonts w:asciiTheme="minorHAnsi" w:hAnsiTheme="minorHAnsi" w:cstheme="minorHAnsi"/>
                <w:noProof/>
                <w:lang w:eastAsia="en-AU"/>
              </w:rPr>
              <w:drawing>
                <wp:inline distT="0" distB="0" distL="0" distR="0" wp14:anchorId="35A91387" wp14:editId="325EE0E9">
                  <wp:extent cx="1028700" cy="1638300"/>
                  <wp:effectExtent l="0" t="0" r="0" b="0"/>
                  <wp:docPr id="14" name="Picture 14" descr="Barrier fabric gownReu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arrier fabric gownReus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8700" cy="1638300"/>
                          </a:xfrm>
                          <a:prstGeom prst="rect">
                            <a:avLst/>
                          </a:prstGeom>
                          <a:noFill/>
                          <a:ln>
                            <a:noFill/>
                          </a:ln>
                        </pic:spPr>
                      </pic:pic>
                    </a:graphicData>
                  </a:graphic>
                </wp:inline>
              </w:drawing>
            </w:r>
          </w:p>
        </w:tc>
        <w:tc>
          <w:tcPr>
            <w:tcW w:w="236" w:type="dxa"/>
            <w:tcBorders>
              <w:left w:val="nil"/>
            </w:tcBorders>
          </w:tcPr>
          <w:p w14:paraId="1EC45F78" w14:textId="77777777" w:rsidR="006B5F2A" w:rsidRPr="00A92D3F" w:rsidRDefault="006B5F2A" w:rsidP="009D3CE6">
            <w:pPr>
              <w:rPr>
                <w:rFonts w:asciiTheme="minorHAnsi" w:hAnsiTheme="minorHAnsi" w:cstheme="minorHAnsi"/>
              </w:rPr>
            </w:pPr>
          </w:p>
        </w:tc>
      </w:tr>
    </w:tbl>
    <w:p w14:paraId="0A4F225F" w14:textId="77777777" w:rsidR="006B5F2A" w:rsidRPr="00A92D3F" w:rsidRDefault="006B5F2A" w:rsidP="006B5F2A">
      <w:pPr>
        <w:pStyle w:val="Heading2"/>
        <w:rPr>
          <w:rFonts w:cstheme="minorHAnsi"/>
        </w:rPr>
      </w:pPr>
      <w:r w:rsidRPr="00A92D3F">
        <w:rPr>
          <w:rFonts w:cstheme="minorHAnsi"/>
        </w:rPr>
        <w:br w:type="page"/>
      </w:r>
      <w:bookmarkStart w:id="45" w:name="_Toc398561846"/>
      <w:bookmarkStart w:id="46" w:name="_Toc465089726"/>
      <w:r w:rsidRPr="00A92D3F">
        <w:rPr>
          <w:rFonts w:cstheme="minorHAnsi"/>
        </w:rPr>
        <w:t>ANNEX 3</w:t>
      </w:r>
      <w:bookmarkEnd w:id="45"/>
      <w:bookmarkEnd w:id="46"/>
    </w:p>
    <w:p w14:paraId="18E66005" w14:textId="77777777" w:rsidR="006B5F2A" w:rsidRPr="00A92D3F" w:rsidRDefault="006B5F2A" w:rsidP="006B5F2A">
      <w:pPr>
        <w:pStyle w:val="Heading2"/>
        <w:ind w:left="576"/>
        <w:rPr>
          <w:rFonts w:cstheme="minorHAnsi"/>
          <w:sz w:val="24"/>
        </w:rPr>
      </w:pPr>
      <w:bookmarkStart w:id="47" w:name="_Toc398561847"/>
      <w:bookmarkStart w:id="48" w:name="_Toc465089727"/>
      <w:r w:rsidRPr="00A92D3F">
        <w:rPr>
          <w:rFonts w:cstheme="minorHAnsi"/>
          <w:sz w:val="24"/>
        </w:rPr>
        <w:t>National TSE surveillance project – State and AHA coordinators</w:t>
      </w:r>
      <w:bookmarkEnd w:id="47"/>
      <w:bookmarkEnd w:id="48"/>
    </w:p>
    <w:tbl>
      <w:tblPr>
        <w:tblW w:w="96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02"/>
        <w:gridCol w:w="3751"/>
        <w:gridCol w:w="297"/>
        <w:gridCol w:w="3581"/>
      </w:tblGrid>
      <w:tr w:rsidR="006B5F2A" w:rsidRPr="00A92D3F" w14:paraId="354B16B9" w14:textId="77777777" w:rsidTr="00A94EE1">
        <w:trPr>
          <w:trHeight w:val="302"/>
          <w:jc w:val="center"/>
        </w:trPr>
        <w:tc>
          <w:tcPr>
            <w:tcW w:w="2002" w:type="dxa"/>
            <w:tcBorders>
              <w:top w:val="single" w:sz="6" w:space="0" w:color="auto"/>
              <w:left w:val="single" w:sz="6" w:space="0" w:color="auto"/>
              <w:bottom w:val="single" w:sz="6" w:space="0" w:color="auto"/>
              <w:right w:val="nil"/>
            </w:tcBorders>
            <w:shd w:val="clear" w:color="auto" w:fill="E7E6E6"/>
          </w:tcPr>
          <w:p w14:paraId="58FE5A8F" w14:textId="77777777" w:rsidR="006B5F2A" w:rsidRPr="00A92D3F" w:rsidRDefault="006B5F2A" w:rsidP="006B5F2A">
            <w:pPr>
              <w:spacing w:after="0"/>
              <w:rPr>
                <w:rFonts w:asciiTheme="minorHAnsi" w:hAnsiTheme="minorHAnsi" w:cstheme="minorHAnsi"/>
                <w:b/>
              </w:rPr>
            </w:pPr>
            <w:r w:rsidRPr="00A92D3F">
              <w:rPr>
                <w:rFonts w:asciiTheme="minorHAnsi" w:hAnsiTheme="minorHAnsi" w:cstheme="minorHAnsi"/>
                <w:b/>
              </w:rPr>
              <w:t>Name</w:t>
            </w:r>
          </w:p>
        </w:tc>
        <w:tc>
          <w:tcPr>
            <w:tcW w:w="3751" w:type="dxa"/>
            <w:tcBorders>
              <w:top w:val="single" w:sz="6" w:space="0" w:color="auto"/>
              <w:left w:val="single" w:sz="6" w:space="0" w:color="auto"/>
              <w:bottom w:val="single" w:sz="6" w:space="0" w:color="auto"/>
              <w:right w:val="single" w:sz="6" w:space="0" w:color="auto"/>
            </w:tcBorders>
            <w:shd w:val="clear" w:color="auto" w:fill="E7E6E6"/>
          </w:tcPr>
          <w:p w14:paraId="30E50960" w14:textId="77777777" w:rsidR="006B5F2A" w:rsidRPr="00A92D3F" w:rsidRDefault="006B5F2A" w:rsidP="006B5F2A">
            <w:pPr>
              <w:spacing w:after="0"/>
              <w:rPr>
                <w:rFonts w:asciiTheme="minorHAnsi" w:hAnsiTheme="minorHAnsi" w:cstheme="minorHAnsi"/>
                <w:b/>
              </w:rPr>
            </w:pPr>
            <w:r w:rsidRPr="00A92D3F">
              <w:rPr>
                <w:rFonts w:asciiTheme="minorHAnsi" w:hAnsiTheme="minorHAnsi" w:cstheme="minorHAnsi"/>
                <w:b/>
              </w:rPr>
              <w:t>Address</w:t>
            </w:r>
          </w:p>
        </w:tc>
        <w:tc>
          <w:tcPr>
            <w:tcW w:w="297" w:type="dxa"/>
            <w:tcBorders>
              <w:top w:val="single" w:sz="6" w:space="0" w:color="auto"/>
              <w:left w:val="nil"/>
              <w:bottom w:val="single" w:sz="6" w:space="0" w:color="auto"/>
              <w:right w:val="nil"/>
            </w:tcBorders>
            <w:shd w:val="clear" w:color="auto" w:fill="E7E6E6"/>
          </w:tcPr>
          <w:p w14:paraId="5DA57127" w14:textId="77777777" w:rsidR="006B5F2A" w:rsidRPr="00A92D3F" w:rsidRDefault="006B5F2A" w:rsidP="006B5F2A">
            <w:pPr>
              <w:spacing w:after="0"/>
              <w:rPr>
                <w:rFonts w:asciiTheme="minorHAnsi" w:hAnsiTheme="minorHAnsi" w:cstheme="minorHAnsi"/>
                <w:b/>
              </w:rPr>
            </w:pPr>
          </w:p>
        </w:tc>
        <w:tc>
          <w:tcPr>
            <w:tcW w:w="3581" w:type="dxa"/>
            <w:tcBorders>
              <w:top w:val="single" w:sz="6" w:space="0" w:color="auto"/>
              <w:left w:val="nil"/>
              <w:bottom w:val="single" w:sz="6" w:space="0" w:color="auto"/>
              <w:right w:val="single" w:sz="6" w:space="0" w:color="auto"/>
            </w:tcBorders>
            <w:shd w:val="clear" w:color="auto" w:fill="E7E6E6"/>
          </w:tcPr>
          <w:p w14:paraId="2EF2D7BC" w14:textId="77777777" w:rsidR="006B5F2A" w:rsidRPr="00A92D3F" w:rsidRDefault="006B5F2A" w:rsidP="006B5F2A">
            <w:pPr>
              <w:spacing w:after="0"/>
              <w:rPr>
                <w:rFonts w:asciiTheme="minorHAnsi" w:hAnsiTheme="minorHAnsi" w:cstheme="minorHAnsi"/>
                <w:b/>
              </w:rPr>
            </w:pPr>
            <w:r w:rsidRPr="00A92D3F">
              <w:rPr>
                <w:rFonts w:asciiTheme="minorHAnsi" w:hAnsiTheme="minorHAnsi" w:cstheme="minorHAnsi"/>
                <w:b/>
              </w:rPr>
              <w:t>Phone/Fax/Email</w:t>
            </w:r>
          </w:p>
        </w:tc>
      </w:tr>
      <w:tr w:rsidR="006B5F2A" w:rsidRPr="00A92D3F" w14:paraId="3203CE0C" w14:textId="77777777" w:rsidTr="00A94EE1">
        <w:trPr>
          <w:trHeight w:val="707"/>
          <w:jc w:val="center"/>
        </w:trPr>
        <w:tc>
          <w:tcPr>
            <w:tcW w:w="2002" w:type="dxa"/>
            <w:tcBorders>
              <w:top w:val="single" w:sz="6" w:space="0" w:color="auto"/>
              <w:left w:val="single" w:sz="6" w:space="0" w:color="auto"/>
              <w:bottom w:val="single" w:sz="4" w:space="0" w:color="auto"/>
            </w:tcBorders>
          </w:tcPr>
          <w:p w14:paraId="1CB37F5E"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Robert Barwell</w:t>
            </w:r>
          </w:p>
        </w:tc>
        <w:tc>
          <w:tcPr>
            <w:tcW w:w="3751" w:type="dxa"/>
            <w:tcBorders>
              <w:top w:val="single" w:sz="6" w:space="0" w:color="auto"/>
              <w:bottom w:val="single" w:sz="6" w:space="0" w:color="auto"/>
            </w:tcBorders>
          </w:tcPr>
          <w:p w14:paraId="2D29E98E"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Animal Health </w:t>
            </w:r>
            <w:smartTag w:uri="urn:schemas-microsoft-com:office:smarttags" w:element="place">
              <w:smartTag w:uri="urn:schemas-microsoft-com:office:smarttags" w:element="country-region">
                <w:r w:rsidRPr="00A92D3F">
                  <w:rPr>
                    <w:rFonts w:asciiTheme="minorHAnsi" w:hAnsiTheme="minorHAnsi" w:cstheme="minorHAnsi"/>
                    <w:sz w:val="20"/>
                  </w:rPr>
                  <w:t>Australia</w:t>
                </w:r>
              </w:smartTag>
            </w:smartTag>
          </w:p>
          <w:p w14:paraId="3BF1AD1A"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PO Box 5116, </w:t>
            </w:r>
          </w:p>
          <w:p w14:paraId="418A80FB"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Braddon, ACT 2612</w:t>
            </w:r>
          </w:p>
        </w:tc>
        <w:tc>
          <w:tcPr>
            <w:tcW w:w="297" w:type="dxa"/>
            <w:tcBorders>
              <w:top w:val="single" w:sz="6" w:space="0" w:color="auto"/>
              <w:bottom w:val="single" w:sz="4" w:space="0" w:color="auto"/>
              <w:right w:val="nil"/>
            </w:tcBorders>
          </w:tcPr>
          <w:p w14:paraId="79830269"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32005F32"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5350CE1D"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4" w:space="0" w:color="auto"/>
              <w:right w:val="single" w:sz="6" w:space="0" w:color="auto"/>
            </w:tcBorders>
          </w:tcPr>
          <w:p w14:paraId="5E001D47"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02 6203 3947</w:t>
            </w:r>
          </w:p>
          <w:p w14:paraId="45701877" w14:textId="77777777" w:rsidR="006B5F2A" w:rsidRPr="00A92D3F" w:rsidRDefault="006B5F2A" w:rsidP="006B5F2A">
            <w:pPr>
              <w:spacing w:after="0" w:line="276" w:lineRule="auto"/>
              <w:jc w:val="both"/>
              <w:rPr>
                <w:rFonts w:asciiTheme="minorHAnsi" w:hAnsiTheme="minorHAnsi" w:cstheme="minorHAnsi"/>
                <w:sz w:val="20"/>
                <w:szCs w:val="20"/>
              </w:rPr>
            </w:pPr>
          </w:p>
          <w:p w14:paraId="786767BE" w14:textId="77777777" w:rsidR="006B5F2A" w:rsidRPr="00A92D3F" w:rsidRDefault="009967B3" w:rsidP="006B5F2A">
            <w:pPr>
              <w:spacing w:after="0" w:line="276" w:lineRule="auto"/>
              <w:jc w:val="both"/>
              <w:rPr>
                <w:rFonts w:asciiTheme="minorHAnsi" w:hAnsiTheme="minorHAnsi" w:cstheme="minorHAnsi"/>
                <w:sz w:val="20"/>
                <w:szCs w:val="20"/>
              </w:rPr>
            </w:pPr>
            <w:hyperlink r:id="rId21" w:history="1">
              <w:r w:rsidR="006B5F2A" w:rsidRPr="00A92D3F">
                <w:rPr>
                  <w:rStyle w:val="Hyperlink"/>
                  <w:rFonts w:asciiTheme="minorHAnsi" w:hAnsiTheme="minorHAnsi" w:cstheme="minorHAnsi"/>
                  <w:sz w:val="20"/>
                  <w:szCs w:val="20"/>
                </w:rPr>
                <w:t>rbarwell@animalhealthaustralia.com.au</w:t>
              </w:r>
            </w:hyperlink>
            <w:r w:rsidR="006B5F2A" w:rsidRPr="00A92D3F">
              <w:rPr>
                <w:rFonts w:asciiTheme="minorHAnsi" w:hAnsiTheme="minorHAnsi" w:cstheme="minorHAnsi"/>
                <w:sz w:val="20"/>
                <w:szCs w:val="20"/>
              </w:rPr>
              <w:t xml:space="preserve"> </w:t>
            </w:r>
          </w:p>
        </w:tc>
      </w:tr>
      <w:tr w:rsidR="006B5F2A" w:rsidRPr="00A92D3F" w14:paraId="7044D4B1" w14:textId="77777777" w:rsidTr="00A94EE1">
        <w:trPr>
          <w:trHeight w:val="1133"/>
          <w:jc w:val="center"/>
        </w:trPr>
        <w:tc>
          <w:tcPr>
            <w:tcW w:w="2002" w:type="dxa"/>
            <w:tcBorders>
              <w:top w:val="single" w:sz="6" w:space="0" w:color="auto"/>
              <w:left w:val="single" w:sz="6" w:space="0" w:color="auto"/>
              <w:bottom w:val="single" w:sz="4" w:space="0" w:color="auto"/>
            </w:tcBorders>
          </w:tcPr>
          <w:p w14:paraId="57047D19" w14:textId="07613DAB"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 xml:space="preserve">Dr </w:t>
            </w:r>
            <w:r w:rsidR="006F7D60">
              <w:rPr>
                <w:rFonts w:asciiTheme="minorHAnsi" w:hAnsiTheme="minorHAnsi" w:cstheme="minorHAnsi"/>
                <w:sz w:val="20"/>
              </w:rPr>
              <w:t>Emma Watkins</w:t>
            </w:r>
          </w:p>
          <w:p w14:paraId="624000A5" w14:textId="77777777" w:rsidR="006B5F2A" w:rsidRPr="00A92D3F" w:rsidRDefault="006B5F2A" w:rsidP="006B5F2A">
            <w:pPr>
              <w:spacing w:after="0"/>
              <w:rPr>
                <w:rFonts w:asciiTheme="minorHAnsi" w:hAnsiTheme="minorHAnsi" w:cstheme="minorHAnsi"/>
                <w:sz w:val="20"/>
              </w:rPr>
            </w:pPr>
          </w:p>
          <w:p w14:paraId="4C65AE9B" w14:textId="77777777" w:rsidR="006B5F2A" w:rsidRPr="00A92D3F" w:rsidRDefault="006B5F2A" w:rsidP="006B5F2A">
            <w:pPr>
              <w:spacing w:after="0"/>
              <w:rPr>
                <w:rFonts w:asciiTheme="minorHAnsi" w:hAnsiTheme="minorHAnsi" w:cstheme="minorHAnsi"/>
                <w:sz w:val="20"/>
              </w:rPr>
            </w:pPr>
          </w:p>
        </w:tc>
        <w:tc>
          <w:tcPr>
            <w:tcW w:w="3751" w:type="dxa"/>
            <w:tcBorders>
              <w:top w:val="single" w:sz="6" w:space="0" w:color="auto"/>
              <w:bottom w:val="single" w:sz="6" w:space="0" w:color="auto"/>
            </w:tcBorders>
          </w:tcPr>
          <w:p w14:paraId="73E84307"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Department of Primary Industry, Parks, Water and Environment</w:t>
            </w:r>
          </w:p>
          <w:p w14:paraId="6E0B38D4" w14:textId="77777777" w:rsidR="006F7D60" w:rsidRPr="006F7D60" w:rsidRDefault="006F7D60" w:rsidP="006F7D60">
            <w:pPr>
              <w:spacing w:after="0"/>
              <w:rPr>
                <w:rFonts w:asciiTheme="minorHAnsi" w:hAnsiTheme="minorHAnsi" w:cstheme="minorHAnsi"/>
                <w:color w:val="44546A"/>
                <w:sz w:val="18"/>
                <w:szCs w:val="18"/>
                <w:lang w:val="en-US" w:eastAsia="en-AU"/>
              </w:rPr>
            </w:pPr>
            <w:r w:rsidRPr="006F7D60">
              <w:rPr>
                <w:rFonts w:asciiTheme="minorHAnsi" w:hAnsiTheme="minorHAnsi" w:cstheme="minorHAnsi"/>
                <w:color w:val="44546A"/>
                <w:sz w:val="18"/>
                <w:szCs w:val="18"/>
                <w:lang w:val="en-US" w:eastAsia="en-AU"/>
              </w:rPr>
              <w:t xml:space="preserve">GPO Box 44, </w:t>
            </w:r>
          </w:p>
          <w:p w14:paraId="631211A1" w14:textId="3F90089D" w:rsidR="006F7D60" w:rsidRPr="006F7D60" w:rsidRDefault="006F7D60" w:rsidP="006F7D60">
            <w:pPr>
              <w:spacing w:after="0"/>
              <w:rPr>
                <w:rFonts w:asciiTheme="minorHAnsi" w:hAnsiTheme="minorHAnsi" w:cstheme="minorHAnsi"/>
                <w:color w:val="44546A"/>
                <w:sz w:val="18"/>
                <w:szCs w:val="18"/>
                <w:lang w:val="en-US" w:eastAsia="en-AU"/>
              </w:rPr>
            </w:pPr>
            <w:r w:rsidRPr="006F7D60">
              <w:rPr>
                <w:rFonts w:asciiTheme="minorHAnsi" w:hAnsiTheme="minorHAnsi" w:cstheme="minorHAnsi"/>
                <w:color w:val="44546A"/>
                <w:sz w:val="18"/>
                <w:szCs w:val="18"/>
                <w:lang w:val="en-US" w:eastAsia="en-AU"/>
              </w:rPr>
              <w:t>Hobart TAS 7001</w:t>
            </w:r>
          </w:p>
          <w:p w14:paraId="7A2D872B" w14:textId="17ACB70E" w:rsidR="006B5F2A" w:rsidRPr="00A92D3F" w:rsidRDefault="006B5F2A" w:rsidP="006B5F2A">
            <w:pPr>
              <w:spacing w:after="0" w:line="276" w:lineRule="auto"/>
              <w:rPr>
                <w:rFonts w:asciiTheme="minorHAnsi" w:hAnsiTheme="minorHAnsi" w:cstheme="minorHAnsi"/>
                <w:sz w:val="20"/>
              </w:rPr>
            </w:pPr>
          </w:p>
        </w:tc>
        <w:tc>
          <w:tcPr>
            <w:tcW w:w="297" w:type="dxa"/>
            <w:tcBorders>
              <w:top w:val="single" w:sz="6" w:space="0" w:color="auto"/>
              <w:bottom w:val="single" w:sz="4" w:space="0" w:color="auto"/>
              <w:right w:val="nil"/>
            </w:tcBorders>
          </w:tcPr>
          <w:p w14:paraId="3FA77AF3"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17249FB6"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730FBE04"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4" w:space="0" w:color="auto"/>
              <w:right w:val="single" w:sz="6" w:space="0" w:color="auto"/>
            </w:tcBorders>
          </w:tcPr>
          <w:p w14:paraId="3DF9826F" w14:textId="2B602A0B"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 xml:space="preserve">03 </w:t>
            </w:r>
            <w:r w:rsidR="006F7D60" w:rsidRPr="006F7D60">
              <w:rPr>
                <w:rFonts w:asciiTheme="minorHAnsi" w:hAnsiTheme="minorHAnsi" w:cstheme="minorHAnsi"/>
                <w:sz w:val="20"/>
              </w:rPr>
              <w:t xml:space="preserve">6165 3264  </w:t>
            </w:r>
          </w:p>
          <w:p w14:paraId="280DB438" w14:textId="77777777" w:rsidR="006B5F2A" w:rsidRPr="00A92D3F" w:rsidRDefault="006B5F2A" w:rsidP="006B5F2A">
            <w:pPr>
              <w:spacing w:after="0" w:line="276" w:lineRule="auto"/>
              <w:jc w:val="both"/>
              <w:rPr>
                <w:rFonts w:asciiTheme="minorHAnsi" w:hAnsiTheme="minorHAnsi" w:cstheme="minorHAnsi"/>
                <w:sz w:val="20"/>
                <w:szCs w:val="20"/>
              </w:rPr>
            </w:pPr>
          </w:p>
          <w:p w14:paraId="30C77E4B" w14:textId="2339C43C" w:rsidR="006B5F2A" w:rsidRPr="00A92D3F" w:rsidRDefault="006F7D60" w:rsidP="006F7D60">
            <w:pPr>
              <w:spacing w:after="0" w:line="276" w:lineRule="auto"/>
              <w:jc w:val="both"/>
              <w:rPr>
                <w:rFonts w:asciiTheme="minorHAnsi" w:hAnsiTheme="minorHAnsi" w:cstheme="minorHAnsi"/>
                <w:sz w:val="20"/>
                <w:szCs w:val="20"/>
              </w:rPr>
            </w:pPr>
            <w:r>
              <w:rPr>
                <w:rStyle w:val="Hyperlink"/>
                <w:rFonts w:asciiTheme="minorHAnsi" w:hAnsiTheme="minorHAnsi" w:cstheme="minorHAnsi"/>
                <w:sz w:val="20"/>
                <w:szCs w:val="20"/>
              </w:rPr>
              <w:t xml:space="preserve"> </w:t>
            </w:r>
            <w:hyperlink r:id="rId22" w:history="1">
              <w:r>
                <w:rPr>
                  <w:rStyle w:val="Hyperlink"/>
                  <w:rFonts w:asciiTheme="minorHAnsi" w:hAnsiTheme="minorHAnsi" w:cstheme="minorHAnsi"/>
                  <w:sz w:val="20"/>
                  <w:szCs w:val="20"/>
                </w:rPr>
                <w:t>emma watkins</w:t>
              </w:r>
              <w:r w:rsidRPr="00A92D3F">
                <w:rPr>
                  <w:rStyle w:val="Hyperlink"/>
                  <w:rFonts w:asciiTheme="minorHAnsi" w:hAnsiTheme="minorHAnsi" w:cstheme="minorHAnsi"/>
                  <w:sz w:val="20"/>
                  <w:szCs w:val="20"/>
                </w:rPr>
                <w:t>@dpipwe.tas.gov.au</w:t>
              </w:r>
            </w:hyperlink>
          </w:p>
        </w:tc>
      </w:tr>
      <w:tr w:rsidR="006B5F2A" w:rsidRPr="00A92D3F" w14:paraId="1037C2D6" w14:textId="77777777" w:rsidTr="00A94EE1">
        <w:trPr>
          <w:trHeight w:val="1118"/>
          <w:jc w:val="center"/>
        </w:trPr>
        <w:tc>
          <w:tcPr>
            <w:tcW w:w="2002" w:type="dxa"/>
            <w:tcBorders>
              <w:top w:val="single" w:sz="6" w:space="0" w:color="auto"/>
              <w:left w:val="single" w:sz="6" w:space="0" w:color="auto"/>
              <w:bottom w:val="single" w:sz="6" w:space="0" w:color="auto"/>
            </w:tcBorders>
          </w:tcPr>
          <w:p w14:paraId="1BA07527"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Cameron Bell</w:t>
            </w:r>
          </w:p>
        </w:tc>
        <w:tc>
          <w:tcPr>
            <w:tcW w:w="3751" w:type="dxa"/>
            <w:tcBorders>
              <w:top w:val="single" w:sz="6" w:space="0" w:color="auto"/>
              <w:bottom w:val="single" w:sz="4" w:space="0" w:color="auto"/>
            </w:tcBorders>
          </w:tcPr>
          <w:p w14:paraId="75BB0D8A"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Department of Economic Development, Jobs, Transport and Resources</w:t>
            </w:r>
          </w:p>
          <w:p w14:paraId="24036610"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Box 2500 Bendigo Delivery Centre</w:t>
            </w:r>
          </w:p>
          <w:p w14:paraId="316F4243"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Bendigo, VIC  3554</w:t>
            </w:r>
          </w:p>
        </w:tc>
        <w:tc>
          <w:tcPr>
            <w:tcW w:w="297" w:type="dxa"/>
            <w:tcBorders>
              <w:top w:val="single" w:sz="6" w:space="0" w:color="auto"/>
              <w:bottom w:val="single" w:sz="6" w:space="0" w:color="auto"/>
              <w:right w:val="nil"/>
            </w:tcBorders>
          </w:tcPr>
          <w:p w14:paraId="144DE500"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PFE</w:t>
            </w:r>
          </w:p>
        </w:tc>
        <w:tc>
          <w:tcPr>
            <w:tcW w:w="3581" w:type="dxa"/>
            <w:tcBorders>
              <w:top w:val="single" w:sz="6" w:space="0" w:color="auto"/>
              <w:left w:val="nil"/>
              <w:bottom w:val="single" w:sz="6" w:space="0" w:color="auto"/>
              <w:right w:val="single" w:sz="6" w:space="0" w:color="auto"/>
            </w:tcBorders>
          </w:tcPr>
          <w:p w14:paraId="0B56F09E"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03 5430 4545</w:t>
            </w:r>
          </w:p>
          <w:p w14:paraId="2159990B"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03 5430 4520</w:t>
            </w:r>
          </w:p>
          <w:bookmarkStart w:id="49" w:name="_Hlt526040354"/>
          <w:p w14:paraId="055104F4"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fldChar w:fldCharType="begin"/>
            </w:r>
            <w:r w:rsidRPr="00A92D3F">
              <w:rPr>
                <w:rFonts w:asciiTheme="minorHAnsi" w:hAnsiTheme="minorHAnsi" w:cstheme="minorHAnsi"/>
                <w:sz w:val="20"/>
              </w:rPr>
              <w:instrText xml:space="preserve"> HYPERLINK "mailto:cameron.bell@ecodev.vic.gov.au" </w:instrText>
            </w:r>
            <w:r w:rsidRPr="00A92D3F">
              <w:rPr>
                <w:rFonts w:asciiTheme="minorHAnsi" w:hAnsiTheme="minorHAnsi" w:cstheme="minorHAnsi"/>
                <w:sz w:val="20"/>
              </w:rPr>
              <w:fldChar w:fldCharType="separate"/>
            </w:r>
            <w:r w:rsidRPr="00A92D3F">
              <w:rPr>
                <w:rStyle w:val="Hyperlink"/>
                <w:rFonts w:asciiTheme="minorHAnsi" w:hAnsiTheme="minorHAnsi" w:cstheme="minorHAnsi"/>
                <w:sz w:val="20"/>
              </w:rPr>
              <w:t>cameron.bell@ecodev.vic.gov.au</w:t>
            </w:r>
            <w:bookmarkEnd w:id="49"/>
            <w:r w:rsidRPr="00A92D3F">
              <w:rPr>
                <w:rFonts w:asciiTheme="minorHAnsi" w:hAnsiTheme="minorHAnsi" w:cstheme="minorHAnsi"/>
                <w:sz w:val="20"/>
              </w:rPr>
              <w:fldChar w:fldCharType="end"/>
            </w:r>
          </w:p>
        </w:tc>
      </w:tr>
      <w:tr w:rsidR="006B5F2A" w:rsidRPr="00A92D3F" w14:paraId="5750F60E" w14:textId="77777777" w:rsidTr="00A94EE1">
        <w:trPr>
          <w:trHeight w:val="861"/>
          <w:jc w:val="center"/>
        </w:trPr>
        <w:tc>
          <w:tcPr>
            <w:tcW w:w="2002" w:type="dxa"/>
            <w:tcBorders>
              <w:top w:val="single" w:sz="6" w:space="0" w:color="auto"/>
              <w:left w:val="single" w:sz="6" w:space="0" w:color="auto"/>
              <w:bottom w:val="single" w:sz="6" w:space="0" w:color="auto"/>
            </w:tcBorders>
          </w:tcPr>
          <w:p w14:paraId="463A3614"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Katie Webb</w:t>
            </w:r>
          </w:p>
        </w:tc>
        <w:tc>
          <w:tcPr>
            <w:tcW w:w="3751" w:type="dxa"/>
            <w:tcBorders>
              <w:top w:val="single" w:sz="4" w:space="0" w:color="auto"/>
              <w:bottom w:val="single" w:sz="6" w:space="0" w:color="auto"/>
            </w:tcBorders>
          </w:tcPr>
          <w:p w14:paraId="423968CB" w14:textId="5AA93B58"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Department of </w:t>
            </w:r>
            <w:r w:rsidR="007E117F">
              <w:rPr>
                <w:rFonts w:asciiTheme="minorHAnsi" w:hAnsiTheme="minorHAnsi" w:cstheme="minorHAnsi"/>
                <w:sz w:val="20"/>
              </w:rPr>
              <w:t>Primary Industries and regional Development</w:t>
            </w:r>
            <w:r w:rsidRPr="00A92D3F">
              <w:rPr>
                <w:rFonts w:asciiTheme="minorHAnsi" w:hAnsiTheme="minorHAnsi" w:cstheme="minorHAnsi"/>
                <w:sz w:val="20"/>
              </w:rPr>
              <w:t>, WA</w:t>
            </w:r>
          </w:p>
          <w:p w14:paraId="2F76112F"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Verschuer Place, </w:t>
            </w:r>
          </w:p>
          <w:p w14:paraId="5F7DFEF4" w14:textId="7258F830"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Bunbury, WA  623</w:t>
            </w:r>
            <w:r w:rsidR="007E117F">
              <w:rPr>
                <w:rFonts w:asciiTheme="minorHAnsi" w:hAnsiTheme="minorHAnsi" w:cstheme="minorHAnsi"/>
                <w:sz w:val="20"/>
              </w:rPr>
              <w:t>1</w:t>
            </w:r>
          </w:p>
        </w:tc>
        <w:tc>
          <w:tcPr>
            <w:tcW w:w="297" w:type="dxa"/>
            <w:tcBorders>
              <w:top w:val="single" w:sz="6" w:space="0" w:color="auto"/>
              <w:bottom w:val="single" w:sz="6" w:space="0" w:color="auto"/>
              <w:right w:val="nil"/>
            </w:tcBorders>
          </w:tcPr>
          <w:p w14:paraId="7FAAD065"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5709B943"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2B1521DF"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6" w:space="0" w:color="auto"/>
              <w:right w:val="single" w:sz="6" w:space="0" w:color="auto"/>
            </w:tcBorders>
          </w:tcPr>
          <w:p w14:paraId="64C13C61"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 xml:space="preserve">08 9780 6255  </w:t>
            </w:r>
          </w:p>
          <w:p w14:paraId="6436434E"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08 9780 6136</w:t>
            </w:r>
          </w:p>
          <w:p w14:paraId="10C10106" w14:textId="6C0CBECD" w:rsidR="006B5F2A" w:rsidRPr="00385463" w:rsidRDefault="009967B3" w:rsidP="006B5F2A">
            <w:pPr>
              <w:spacing w:after="0" w:line="276" w:lineRule="auto"/>
              <w:jc w:val="both"/>
              <w:rPr>
                <w:rFonts w:asciiTheme="minorHAnsi" w:hAnsiTheme="minorHAnsi" w:cstheme="minorHAnsi"/>
                <w:sz w:val="20"/>
              </w:rPr>
            </w:pPr>
            <w:hyperlink r:id="rId23" w:history="1">
              <w:r w:rsidR="00385463" w:rsidRPr="00806349">
                <w:rPr>
                  <w:rStyle w:val="Hyperlink"/>
                  <w:rFonts w:asciiTheme="minorHAnsi" w:hAnsiTheme="minorHAnsi" w:cstheme="minorHAnsi"/>
                  <w:sz w:val="20"/>
                </w:rPr>
                <w:t>katie.webb@dpird.wa.gov.au</w:t>
              </w:r>
            </w:hyperlink>
            <w:r w:rsidR="00385463">
              <w:rPr>
                <w:rFonts w:asciiTheme="minorHAnsi" w:hAnsiTheme="minorHAnsi" w:cstheme="minorHAnsi"/>
                <w:sz w:val="20"/>
              </w:rPr>
              <w:t xml:space="preserve"> </w:t>
            </w:r>
          </w:p>
        </w:tc>
      </w:tr>
      <w:tr w:rsidR="006B5F2A" w:rsidRPr="00A92D3F" w14:paraId="1AFBA6D6" w14:textId="77777777" w:rsidTr="00A94EE1">
        <w:trPr>
          <w:trHeight w:val="1118"/>
          <w:jc w:val="center"/>
        </w:trPr>
        <w:tc>
          <w:tcPr>
            <w:tcW w:w="2002" w:type="dxa"/>
            <w:tcBorders>
              <w:top w:val="single" w:sz="6" w:space="0" w:color="auto"/>
              <w:left w:val="single" w:sz="6" w:space="0" w:color="auto"/>
              <w:bottom w:val="single" w:sz="6" w:space="0" w:color="auto"/>
            </w:tcBorders>
          </w:tcPr>
          <w:p w14:paraId="57FC5DBD"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Susanne Fitzpatrick</w:t>
            </w:r>
          </w:p>
        </w:tc>
        <w:tc>
          <w:tcPr>
            <w:tcW w:w="3751" w:type="dxa"/>
            <w:tcBorders>
              <w:top w:val="single" w:sz="6" w:space="0" w:color="auto"/>
              <w:bottom w:val="single" w:sz="6" w:space="0" w:color="auto"/>
            </w:tcBorders>
          </w:tcPr>
          <w:p w14:paraId="07A4EFA9"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Department of Primary Industry and Fisheries</w:t>
            </w:r>
          </w:p>
          <w:p w14:paraId="5D8ACB42"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GPO </w:t>
            </w:r>
            <w:smartTag w:uri="urn:schemas-microsoft-com:office:smarttags" w:element="address">
              <w:smartTag w:uri="urn:schemas-microsoft-com:office:smarttags" w:element="Street">
                <w:r w:rsidRPr="00A92D3F">
                  <w:rPr>
                    <w:rFonts w:asciiTheme="minorHAnsi" w:hAnsiTheme="minorHAnsi" w:cstheme="minorHAnsi"/>
                    <w:sz w:val="20"/>
                  </w:rPr>
                  <w:t>Box</w:t>
                </w:r>
              </w:smartTag>
              <w:r w:rsidRPr="00A92D3F">
                <w:rPr>
                  <w:rFonts w:asciiTheme="minorHAnsi" w:hAnsiTheme="minorHAnsi" w:cstheme="minorHAnsi"/>
                  <w:sz w:val="20"/>
                </w:rPr>
                <w:t xml:space="preserve"> 3000</w:t>
              </w:r>
            </w:smartTag>
          </w:p>
          <w:p w14:paraId="30A48AE7"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Darwin  NT  0801</w:t>
            </w:r>
          </w:p>
        </w:tc>
        <w:tc>
          <w:tcPr>
            <w:tcW w:w="297" w:type="dxa"/>
            <w:tcBorders>
              <w:top w:val="single" w:sz="6" w:space="0" w:color="auto"/>
              <w:bottom w:val="single" w:sz="6" w:space="0" w:color="auto"/>
              <w:right w:val="nil"/>
            </w:tcBorders>
          </w:tcPr>
          <w:p w14:paraId="33719749"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27C59D6B"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6334D9CD"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6" w:space="0" w:color="auto"/>
              <w:right w:val="single" w:sz="6" w:space="0" w:color="auto"/>
            </w:tcBorders>
          </w:tcPr>
          <w:p w14:paraId="7D9475B2"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08 8999 2123</w:t>
            </w:r>
          </w:p>
          <w:p w14:paraId="437420E7" w14:textId="77777777" w:rsidR="006B5F2A" w:rsidRPr="00A92D3F" w:rsidRDefault="006B5F2A" w:rsidP="006B5F2A">
            <w:pPr>
              <w:spacing w:after="0" w:line="276" w:lineRule="auto"/>
              <w:jc w:val="both"/>
              <w:rPr>
                <w:rFonts w:asciiTheme="minorHAnsi" w:hAnsiTheme="minorHAnsi" w:cstheme="minorHAnsi"/>
                <w:sz w:val="20"/>
              </w:rPr>
            </w:pPr>
          </w:p>
          <w:p w14:paraId="591F25D8" w14:textId="77777777" w:rsidR="006B5F2A" w:rsidRPr="00A92D3F" w:rsidRDefault="009967B3" w:rsidP="006B5F2A">
            <w:pPr>
              <w:spacing w:after="0" w:line="276" w:lineRule="auto"/>
              <w:jc w:val="both"/>
              <w:rPr>
                <w:rFonts w:asciiTheme="minorHAnsi" w:hAnsiTheme="minorHAnsi" w:cstheme="minorHAnsi"/>
                <w:sz w:val="20"/>
              </w:rPr>
            </w:pPr>
            <w:hyperlink r:id="rId24" w:history="1">
              <w:r w:rsidR="006B5F2A" w:rsidRPr="00A92D3F">
                <w:rPr>
                  <w:rStyle w:val="Hyperlink"/>
                  <w:rFonts w:asciiTheme="minorHAnsi" w:hAnsiTheme="minorHAnsi" w:cstheme="minorHAnsi"/>
                  <w:sz w:val="20"/>
                </w:rPr>
                <w:t>susanne.fitzpatrick@nt.gov.au</w:t>
              </w:r>
            </w:hyperlink>
          </w:p>
        </w:tc>
      </w:tr>
      <w:tr w:rsidR="006B5F2A" w:rsidRPr="00A92D3F" w14:paraId="407AE1F6" w14:textId="77777777" w:rsidTr="00A94EE1">
        <w:trPr>
          <w:trHeight w:val="1133"/>
          <w:jc w:val="center"/>
        </w:trPr>
        <w:tc>
          <w:tcPr>
            <w:tcW w:w="2002" w:type="dxa"/>
            <w:tcBorders>
              <w:top w:val="single" w:sz="6" w:space="0" w:color="auto"/>
              <w:left w:val="single" w:sz="6" w:space="0" w:color="auto"/>
              <w:bottom w:val="single" w:sz="6" w:space="0" w:color="auto"/>
            </w:tcBorders>
          </w:tcPr>
          <w:p w14:paraId="433C31A4"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Janine Barrett</w:t>
            </w:r>
          </w:p>
        </w:tc>
        <w:tc>
          <w:tcPr>
            <w:tcW w:w="3751" w:type="dxa"/>
            <w:tcBorders>
              <w:top w:val="single" w:sz="6" w:space="0" w:color="auto"/>
              <w:bottom w:val="single" w:sz="6" w:space="0" w:color="auto"/>
            </w:tcBorders>
          </w:tcPr>
          <w:p w14:paraId="77492882" w14:textId="319F603C"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Queensland Department of </w:t>
            </w:r>
            <w:r w:rsidR="007E117F" w:rsidRPr="00A92D3F">
              <w:rPr>
                <w:rFonts w:asciiTheme="minorHAnsi" w:hAnsiTheme="minorHAnsi" w:cstheme="minorHAnsi"/>
                <w:sz w:val="20"/>
              </w:rPr>
              <w:t>Agriculture</w:t>
            </w:r>
            <w:r w:rsidRPr="00A92D3F">
              <w:rPr>
                <w:rFonts w:asciiTheme="minorHAnsi" w:hAnsiTheme="minorHAnsi" w:cstheme="minorHAnsi"/>
                <w:sz w:val="20"/>
              </w:rPr>
              <w:t>, Fisheries and Forestry</w:t>
            </w:r>
          </w:p>
          <w:p w14:paraId="4CA3EB74"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GPO Box 46</w:t>
            </w:r>
          </w:p>
          <w:p w14:paraId="478C8E18"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Brisbane, QLD  4001</w:t>
            </w:r>
          </w:p>
        </w:tc>
        <w:tc>
          <w:tcPr>
            <w:tcW w:w="297" w:type="dxa"/>
            <w:tcBorders>
              <w:top w:val="single" w:sz="6" w:space="0" w:color="auto"/>
              <w:bottom w:val="single" w:sz="6" w:space="0" w:color="auto"/>
              <w:right w:val="nil"/>
            </w:tcBorders>
          </w:tcPr>
          <w:p w14:paraId="7633F719"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429B65C1"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5E9B77B3"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p w14:paraId="0D4BFF06" w14:textId="77777777" w:rsidR="006B5F2A" w:rsidRPr="00A92D3F" w:rsidRDefault="006B5F2A" w:rsidP="006B5F2A">
            <w:pPr>
              <w:spacing w:after="0" w:line="276" w:lineRule="auto"/>
              <w:jc w:val="both"/>
              <w:rPr>
                <w:rFonts w:asciiTheme="minorHAnsi" w:hAnsiTheme="minorHAnsi" w:cstheme="minorHAnsi"/>
                <w:sz w:val="20"/>
              </w:rPr>
            </w:pPr>
          </w:p>
        </w:tc>
        <w:tc>
          <w:tcPr>
            <w:tcW w:w="3581" w:type="dxa"/>
            <w:tcBorders>
              <w:top w:val="single" w:sz="6" w:space="0" w:color="auto"/>
              <w:left w:val="nil"/>
              <w:bottom w:val="single" w:sz="6" w:space="0" w:color="auto"/>
              <w:right w:val="single" w:sz="6" w:space="0" w:color="auto"/>
            </w:tcBorders>
          </w:tcPr>
          <w:p w14:paraId="3783395C"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07 3239 3233</w:t>
            </w:r>
          </w:p>
          <w:p w14:paraId="403C5065"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07 3239 3510</w:t>
            </w:r>
          </w:p>
          <w:p w14:paraId="64E50197" w14:textId="77777777" w:rsidR="006B5F2A" w:rsidRPr="00A92D3F" w:rsidRDefault="009967B3" w:rsidP="006B5F2A">
            <w:pPr>
              <w:spacing w:after="0" w:line="276" w:lineRule="auto"/>
              <w:jc w:val="both"/>
              <w:rPr>
                <w:rFonts w:asciiTheme="minorHAnsi" w:hAnsiTheme="minorHAnsi" w:cstheme="minorHAnsi"/>
                <w:sz w:val="20"/>
              </w:rPr>
            </w:pPr>
            <w:hyperlink r:id="rId25" w:history="1">
              <w:r w:rsidR="006B5F2A" w:rsidRPr="00A92D3F">
                <w:rPr>
                  <w:rStyle w:val="Hyperlink"/>
                  <w:rFonts w:asciiTheme="minorHAnsi" w:hAnsiTheme="minorHAnsi" w:cstheme="minorHAnsi"/>
                  <w:sz w:val="20"/>
                </w:rPr>
                <w:t>janine.barrett@daf.qld.gov.au</w:t>
              </w:r>
            </w:hyperlink>
          </w:p>
        </w:tc>
      </w:tr>
      <w:tr w:rsidR="006B5F2A" w:rsidRPr="00A92D3F" w14:paraId="5A19DAB1" w14:textId="77777777" w:rsidTr="00A94EE1">
        <w:trPr>
          <w:trHeight w:val="735"/>
          <w:jc w:val="center"/>
        </w:trPr>
        <w:tc>
          <w:tcPr>
            <w:tcW w:w="2002" w:type="dxa"/>
            <w:tcBorders>
              <w:top w:val="single" w:sz="6" w:space="0" w:color="auto"/>
              <w:left w:val="single" w:sz="6" w:space="0" w:color="auto"/>
              <w:bottom w:val="single" w:sz="6" w:space="0" w:color="auto"/>
            </w:tcBorders>
          </w:tcPr>
          <w:p w14:paraId="453B679E" w14:textId="4A3BA5A7" w:rsidR="006B5F2A" w:rsidRPr="00A92D3F" w:rsidRDefault="006B5F2A" w:rsidP="00FD05E0">
            <w:pPr>
              <w:spacing w:after="0"/>
              <w:rPr>
                <w:rFonts w:asciiTheme="minorHAnsi" w:hAnsiTheme="minorHAnsi" w:cstheme="minorHAnsi"/>
                <w:sz w:val="20"/>
              </w:rPr>
            </w:pPr>
            <w:r w:rsidRPr="00A92D3F">
              <w:rPr>
                <w:rFonts w:asciiTheme="minorHAnsi" w:hAnsiTheme="minorHAnsi" w:cstheme="minorHAnsi"/>
                <w:sz w:val="20"/>
              </w:rPr>
              <w:t xml:space="preserve">Dr </w:t>
            </w:r>
            <w:r w:rsidR="00FD05E0">
              <w:rPr>
                <w:rFonts w:asciiTheme="minorHAnsi" w:hAnsiTheme="minorHAnsi" w:cstheme="minorHAnsi"/>
                <w:sz w:val="20"/>
              </w:rPr>
              <w:t xml:space="preserve"> Kate Wingett</w:t>
            </w:r>
          </w:p>
        </w:tc>
        <w:tc>
          <w:tcPr>
            <w:tcW w:w="3751" w:type="dxa"/>
            <w:tcBorders>
              <w:top w:val="single" w:sz="6" w:space="0" w:color="auto"/>
              <w:bottom w:val="single" w:sz="6" w:space="0" w:color="auto"/>
            </w:tcBorders>
          </w:tcPr>
          <w:p w14:paraId="1302FCA8" w14:textId="77777777" w:rsidR="006B5F2A" w:rsidRPr="00A92D3F" w:rsidRDefault="006B5F2A" w:rsidP="006B5F2A">
            <w:pPr>
              <w:autoSpaceDE w:val="0"/>
              <w:autoSpaceDN w:val="0"/>
              <w:adjustRightInd w:val="0"/>
              <w:spacing w:after="0" w:line="276" w:lineRule="auto"/>
              <w:rPr>
                <w:rFonts w:asciiTheme="minorHAnsi" w:hAnsiTheme="minorHAnsi" w:cstheme="minorHAnsi"/>
                <w:sz w:val="20"/>
              </w:rPr>
            </w:pPr>
            <w:r w:rsidRPr="00A92D3F">
              <w:rPr>
                <w:rFonts w:asciiTheme="minorHAnsi" w:hAnsiTheme="minorHAnsi" w:cstheme="minorHAnsi"/>
                <w:sz w:val="20"/>
              </w:rPr>
              <w:t>NSW Dept of Primary Industries</w:t>
            </w:r>
          </w:p>
          <w:p w14:paraId="71B18461" w14:textId="7B6146BE" w:rsidR="00FD05E0" w:rsidRDefault="00FD05E0" w:rsidP="006B5F2A">
            <w:pPr>
              <w:pStyle w:val="HTMLBody"/>
              <w:spacing w:line="276" w:lineRule="auto"/>
              <w:rPr>
                <w:rFonts w:asciiTheme="minorHAnsi" w:hAnsiTheme="minorHAnsi" w:cstheme="minorHAnsi"/>
                <w:snapToGrid/>
                <w:lang w:val="en-AU"/>
              </w:rPr>
            </w:pPr>
            <w:r>
              <w:rPr>
                <w:rFonts w:asciiTheme="minorHAnsi" w:hAnsiTheme="minorHAnsi" w:cstheme="minorHAnsi"/>
                <w:snapToGrid/>
                <w:lang w:val="en-AU"/>
              </w:rPr>
              <w:t>Locked Bag 21</w:t>
            </w:r>
          </w:p>
          <w:p w14:paraId="74C37572" w14:textId="57D93A5A" w:rsidR="00FD05E0" w:rsidRDefault="00FD05E0" w:rsidP="006B5F2A">
            <w:pPr>
              <w:pStyle w:val="HTMLBody"/>
              <w:spacing w:line="276" w:lineRule="auto"/>
              <w:rPr>
                <w:rFonts w:asciiTheme="minorHAnsi" w:hAnsiTheme="minorHAnsi" w:cstheme="minorHAnsi"/>
                <w:snapToGrid/>
                <w:lang w:val="en-AU"/>
              </w:rPr>
            </w:pPr>
            <w:r>
              <w:rPr>
                <w:rFonts w:asciiTheme="minorHAnsi" w:hAnsiTheme="minorHAnsi" w:cstheme="minorHAnsi"/>
                <w:snapToGrid/>
                <w:lang w:val="en-AU"/>
              </w:rPr>
              <w:t>Orange NSW 2800</w:t>
            </w:r>
          </w:p>
          <w:p w14:paraId="3CBA4692" w14:textId="2E8962E3" w:rsidR="006B5F2A" w:rsidRPr="00A92D3F" w:rsidRDefault="006B5F2A" w:rsidP="006B5F2A">
            <w:pPr>
              <w:pStyle w:val="HTMLBody"/>
              <w:spacing w:line="276" w:lineRule="auto"/>
              <w:rPr>
                <w:rFonts w:asciiTheme="minorHAnsi" w:hAnsiTheme="minorHAnsi" w:cstheme="minorHAnsi"/>
                <w:snapToGrid/>
                <w:lang w:val="en-AU"/>
              </w:rPr>
            </w:pPr>
          </w:p>
        </w:tc>
        <w:tc>
          <w:tcPr>
            <w:tcW w:w="297" w:type="dxa"/>
            <w:tcBorders>
              <w:top w:val="single" w:sz="6" w:space="0" w:color="auto"/>
              <w:bottom w:val="single" w:sz="6" w:space="0" w:color="auto"/>
              <w:right w:val="nil"/>
            </w:tcBorders>
          </w:tcPr>
          <w:p w14:paraId="51322AFA"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0CA78DCB"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12F7577A"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6" w:space="0" w:color="auto"/>
              <w:right w:val="single" w:sz="6" w:space="0" w:color="auto"/>
            </w:tcBorders>
          </w:tcPr>
          <w:p w14:paraId="5A6199E4" w14:textId="6CD1A0A5" w:rsidR="006B5F2A" w:rsidRDefault="00FD05E0" w:rsidP="006B5F2A">
            <w:pPr>
              <w:spacing w:after="0" w:line="276" w:lineRule="auto"/>
              <w:jc w:val="both"/>
              <w:rPr>
                <w:rStyle w:val="Hyperlink"/>
                <w:rFonts w:asciiTheme="minorHAnsi" w:hAnsiTheme="minorHAnsi" w:cstheme="minorHAnsi"/>
                <w:sz w:val="20"/>
              </w:rPr>
            </w:pPr>
            <w:r>
              <w:rPr>
                <w:rFonts w:asciiTheme="minorHAnsi" w:hAnsiTheme="minorHAnsi" w:cstheme="minorHAnsi"/>
                <w:sz w:val="20"/>
              </w:rPr>
              <w:t xml:space="preserve"> 02 6391 3717 </w:t>
            </w:r>
          </w:p>
          <w:p w14:paraId="33EE5AB0" w14:textId="2306F42C" w:rsidR="00FD05E0" w:rsidRPr="00A92D3F" w:rsidRDefault="00FD05E0" w:rsidP="006B5F2A">
            <w:pPr>
              <w:spacing w:after="0" w:line="276" w:lineRule="auto"/>
              <w:jc w:val="both"/>
              <w:rPr>
                <w:rFonts w:asciiTheme="minorHAnsi" w:hAnsiTheme="minorHAnsi" w:cstheme="minorHAnsi"/>
                <w:sz w:val="20"/>
              </w:rPr>
            </w:pPr>
            <w:r>
              <w:rPr>
                <w:rStyle w:val="Hyperlink"/>
                <w:rFonts w:asciiTheme="minorHAnsi" w:hAnsiTheme="minorHAnsi" w:cstheme="minorHAnsi"/>
                <w:sz w:val="20"/>
              </w:rPr>
              <w:t>kate.wingett@dpi.nsw.gov.au</w:t>
            </w:r>
          </w:p>
        </w:tc>
      </w:tr>
      <w:tr w:rsidR="006B5F2A" w:rsidRPr="00A92D3F" w14:paraId="5805CFC6" w14:textId="77777777" w:rsidTr="00A94EE1">
        <w:trPr>
          <w:trHeight w:val="1133"/>
          <w:jc w:val="center"/>
        </w:trPr>
        <w:tc>
          <w:tcPr>
            <w:tcW w:w="2002" w:type="dxa"/>
            <w:tcBorders>
              <w:top w:val="single" w:sz="6" w:space="0" w:color="auto"/>
              <w:left w:val="single" w:sz="6" w:space="0" w:color="auto"/>
              <w:bottom w:val="single" w:sz="6" w:space="0" w:color="auto"/>
            </w:tcBorders>
          </w:tcPr>
          <w:p w14:paraId="2CE7A074" w14:textId="097D840A"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Wendy Townsend</w:t>
            </w:r>
          </w:p>
        </w:tc>
        <w:tc>
          <w:tcPr>
            <w:tcW w:w="3751" w:type="dxa"/>
            <w:tcBorders>
              <w:top w:val="single" w:sz="6" w:space="0" w:color="auto"/>
              <w:bottom w:val="single" w:sz="6" w:space="0" w:color="auto"/>
            </w:tcBorders>
          </w:tcPr>
          <w:p w14:paraId="4D03480C"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Territory and Municipal Services Directorate ACT</w:t>
            </w:r>
          </w:p>
          <w:p w14:paraId="11EFE042"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GPO Box 158, </w:t>
            </w:r>
          </w:p>
          <w:p w14:paraId="3A7B0D08"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Canberra, ACT 2601</w:t>
            </w:r>
          </w:p>
        </w:tc>
        <w:tc>
          <w:tcPr>
            <w:tcW w:w="297" w:type="dxa"/>
            <w:tcBorders>
              <w:top w:val="single" w:sz="6" w:space="0" w:color="auto"/>
              <w:bottom w:val="single" w:sz="6" w:space="0" w:color="auto"/>
              <w:right w:val="nil"/>
            </w:tcBorders>
          </w:tcPr>
          <w:p w14:paraId="1DAFC992"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7BD49B76"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265CEB44"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6" w:space="0" w:color="auto"/>
              <w:right w:val="single" w:sz="6" w:space="0" w:color="auto"/>
            </w:tcBorders>
          </w:tcPr>
          <w:p w14:paraId="55BA4AAC" w14:textId="77777777" w:rsidR="006B5F2A" w:rsidRPr="00A92D3F" w:rsidRDefault="006B5F2A" w:rsidP="006B5F2A">
            <w:pPr>
              <w:spacing w:after="0" w:line="276" w:lineRule="auto"/>
              <w:jc w:val="both"/>
              <w:rPr>
                <w:rFonts w:asciiTheme="minorHAnsi" w:hAnsiTheme="minorHAnsi" w:cstheme="minorHAnsi"/>
                <w:sz w:val="17"/>
                <w:u w:val="single"/>
                <w:lang w:val="en-US"/>
              </w:rPr>
            </w:pPr>
            <w:r w:rsidRPr="00A92D3F">
              <w:rPr>
                <w:rFonts w:asciiTheme="minorHAnsi" w:hAnsiTheme="minorHAnsi" w:cstheme="minorHAnsi"/>
                <w:sz w:val="20"/>
              </w:rPr>
              <w:t>02 6205 3737</w:t>
            </w:r>
          </w:p>
          <w:p w14:paraId="66CF8073" w14:textId="77777777" w:rsidR="006B5F2A" w:rsidRPr="00A92D3F" w:rsidRDefault="006B5F2A" w:rsidP="006B5F2A">
            <w:pPr>
              <w:spacing w:after="0" w:line="276" w:lineRule="auto"/>
              <w:jc w:val="both"/>
              <w:rPr>
                <w:rFonts w:asciiTheme="minorHAnsi" w:hAnsiTheme="minorHAnsi" w:cstheme="minorHAnsi"/>
                <w:sz w:val="20"/>
              </w:rPr>
            </w:pPr>
          </w:p>
          <w:p w14:paraId="417F9F0F" w14:textId="77777777" w:rsidR="006B5F2A" w:rsidRPr="00A92D3F" w:rsidRDefault="009967B3" w:rsidP="006B5F2A">
            <w:pPr>
              <w:spacing w:after="0" w:line="276" w:lineRule="auto"/>
              <w:jc w:val="both"/>
              <w:rPr>
                <w:rFonts w:asciiTheme="minorHAnsi" w:hAnsiTheme="minorHAnsi" w:cstheme="minorHAnsi"/>
                <w:sz w:val="20"/>
              </w:rPr>
            </w:pPr>
            <w:hyperlink r:id="rId26" w:history="1">
              <w:r w:rsidR="006B5F2A" w:rsidRPr="00A92D3F">
                <w:rPr>
                  <w:rStyle w:val="Hyperlink"/>
                  <w:rFonts w:asciiTheme="minorHAnsi" w:hAnsiTheme="minorHAnsi" w:cstheme="minorHAnsi"/>
                  <w:sz w:val="20"/>
                  <w:szCs w:val="20"/>
                </w:rPr>
                <w:t>wendy.townsend@act.gov.au</w:t>
              </w:r>
            </w:hyperlink>
            <w:r w:rsidR="006B5F2A" w:rsidRPr="00A92D3F">
              <w:rPr>
                <w:rFonts w:asciiTheme="minorHAnsi" w:hAnsiTheme="minorHAnsi" w:cstheme="minorHAnsi"/>
                <w:sz w:val="20"/>
                <w:szCs w:val="20"/>
              </w:rPr>
              <w:t xml:space="preserve"> </w:t>
            </w:r>
          </w:p>
        </w:tc>
      </w:tr>
      <w:tr w:rsidR="006B5F2A" w:rsidRPr="00A92D3F" w14:paraId="6A1C3B4F" w14:textId="77777777" w:rsidTr="00A94EE1">
        <w:trPr>
          <w:trHeight w:val="1133"/>
          <w:jc w:val="center"/>
        </w:trPr>
        <w:tc>
          <w:tcPr>
            <w:tcW w:w="2002" w:type="dxa"/>
            <w:tcBorders>
              <w:top w:val="single" w:sz="6" w:space="0" w:color="auto"/>
              <w:left w:val="single" w:sz="6" w:space="0" w:color="auto"/>
              <w:bottom w:val="single" w:sz="6" w:space="0" w:color="auto"/>
            </w:tcBorders>
          </w:tcPr>
          <w:p w14:paraId="7200CA26" w14:textId="77777777" w:rsidR="006B5F2A" w:rsidRPr="00A92D3F" w:rsidRDefault="006B5F2A" w:rsidP="006B5F2A">
            <w:pPr>
              <w:spacing w:after="0"/>
              <w:rPr>
                <w:rFonts w:asciiTheme="minorHAnsi" w:hAnsiTheme="minorHAnsi" w:cstheme="minorHAnsi"/>
                <w:sz w:val="20"/>
              </w:rPr>
            </w:pPr>
            <w:r w:rsidRPr="00A92D3F">
              <w:rPr>
                <w:rFonts w:asciiTheme="minorHAnsi" w:hAnsiTheme="minorHAnsi" w:cstheme="minorHAnsi"/>
                <w:sz w:val="20"/>
              </w:rPr>
              <w:t>Dr Diana Miller</w:t>
            </w:r>
          </w:p>
        </w:tc>
        <w:tc>
          <w:tcPr>
            <w:tcW w:w="3751" w:type="dxa"/>
            <w:tcBorders>
              <w:top w:val="single" w:sz="6" w:space="0" w:color="auto"/>
              <w:bottom w:val="single" w:sz="6" w:space="0" w:color="auto"/>
            </w:tcBorders>
          </w:tcPr>
          <w:p w14:paraId="2358113D"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Primary Industries and Regions South Australia</w:t>
            </w:r>
          </w:p>
          <w:p w14:paraId="049A0756"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 xml:space="preserve">33 Flemington Street </w:t>
            </w:r>
          </w:p>
          <w:p w14:paraId="24182E3C" w14:textId="77777777" w:rsidR="006B5F2A" w:rsidRPr="00A92D3F" w:rsidRDefault="006B5F2A" w:rsidP="006B5F2A">
            <w:pPr>
              <w:spacing w:after="0" w:line="276" w:lineRule="auto"/>
              <w:rPr>
                <w:rFonts w:asciiTheme="minorHAnsi" w:hAnsiTheme="minorHAnsi" w:cstheme="minorHAnsi"/>
                <w:sz w:val="20"/>
              </w:rPr>
            </w:pPr>
            <w:r w:rsidRPr="00A92D3F">
              <w:rPr>
                <w:rFonts w:asciiTheme="minorHAnsi" w:hAnsiTheme="minorHAnsi" w:cstheme="minorHAnsi"/>
                <w:sz w:val="20"/>
              </w:rPr>
              <w:t>Glenside, SA  5065</w:t>
            </w:r>
          </w:p>
        </w:tc>
        <w:tc>
          <w:tcPr>
            <w:tcW w:w="297" w:type="dxa"/>
            <w:tcBorders>
              <w:top w:val="single" w:sz="6" w:space="0" w:color="auto"/>
              <w:bottom w:val="single" w:sz="6" w:space="0" w:color="auto"/>
              <w:right w:val="nil"/>
            </w:tcBorders>
          </w:tcPr>
          <w:p w14:paraId="4EB26BEB"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P</w:t>
            </w:r>
          </w:p>
          <w:p w14:paraId="2DE2F216"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F</w:t>
            </w:r>
          </w:p>
          <w:p w14:paraId="766DF60E"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E</w:t>
            </w:r>
          </w:p>
        </w:tc>
        <w:tc>
          <w:tcPr>
            <w:tcW w:w="3581" w:type="dxa"/>
            <w:tcBorders>
              <w:top w:val="single" w:sz="6" w:space="0" w:color="auto"/>
              <w:left w:val="nil"/>
              <w:bottom w:val="single" w:sz="6" w:space="0" w:color="auto"/>
              <w:right w:val="single" w:sz="6" w:space="0" w:color="auto"/>
            </w:tcBorders>
          </w:tcPr>
          <w:p w14:paraId="73855C89"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08 8207 7837</w:t>
            </w:r>
          </w:p>
          <w:p w14:paraId="5E3BF1DF" w14:textId="77777777" w:rsidR="006B5F2A" w:rsidRPr="00A92D3F" w:rsidRDefault="006B5F2A" w:rsidP="006B5F2A">
            <w:pPr>
              <w:spacing w:after="0" w:line="276" w:lineRule="auto"/>
              <w:jc w:val="both"/>
              <w:rPr>
                <w:rFonts w:asciiTheme="minorHAnsi" w:hAnsiTheme="minorHAnsi" w:cstheme="minorHAnsi"/>
                <w:sz w:val="20"/>
              </w:rPr>
            </w:pPr>
            <w:r w:rsidRPr="00A92D3F">
              <w:rPr>
                <w:rFonts w:asciiTheme="minorHAnsi" w:hAnsiTheme="minorHAnsi" w:cstheme="minorHAnsi"/>
                <w:sz w:val="20"/>
              </w:rPr>
              <w:t>08 8207 7852</w:t>
            </w:r>
          </w:p>
          <w:p w14:paraId="3CBAECD3" w14:textId="77777777" w:rsidR="006B5F2A" w:rsidRPr="00A92D3F" w:rsidRDefault="009967B3" w:rsidP="006B5F2A">
            <w:pPr>
              <w:spacing w:after="0" w:line="276" w:lineRule="auto"/>
              <w:jc w:val="both"/>
              <w:rPr>
                <w:rFonts w:asciiTheme="minorHAnsi" w:hAnsiTheme="minorHAnsi" w:cstheme="minorHAnsi"/>
                <w:sz w:val="20"/>
                <w:szCs w:val="20"/>
              </w:rPr>
            </w:pPr>
            <w:hyperlink r:id="rId27" w:history="1">
              <w:r w:rsidR="006B5F2A" w:rsidRPr="00A92D3F">
                <w:rPr>
                  <w:rStyle w:val="Hyperlink"/>
                  <w:rFonts w:asciiTheme="minorHAnsi" w:hAnsiTheme="minorHAnsi" w:cstheme="minorHAnsi"/>
                  <w:sz w:val="20"/>
                  <w:szCs w:val="20"/>
                </w:rPr>
                <w:t>diana.miller@sa.gov.au</w:t>
              </w:r>
            </w:hyperlink>
            <w:r w:rsidR="006B5F2A" w:rsidRPr="00A92D3F">
              <w:rPr>
                <w:rFonts w:asciiTheme="minorHAnsi" w:hAnsiTheme="minorHAnsi" w:cstheme="minorHAnsi"/>
                <w:sz w:val="20"/>
                <w:szCs w:val="20"/>
              </w:rPr>
              <w:t xml:space="preserve"> </w:t>
            </w:r>
          </w:p>
        </w:tc>
      </w:tr>
    </w:tbl>
    <w:p w14:paraId="581C2BAD" w14:textId="77777777" w:rsidR="00A94EE1" w:rsidRDefault="00A94EE1" w:rsidP="006B5F2A">
      <w:pPr>
        <w:pStyle w:val="Heading2"/>
        <w:rPr>
          <w:rFonts w:cstheme="minorHAnsi"/>
        </w:rPr>
      </w:pPr>
      <w:bookmarkStart w:id="50" w:name="_Toc398561848"/>
    </w:p>
    <w:p w14:paraId="4BC46DDA" w14:textId="77777777" w:rsidR="00A94EE1" w:rsidRDefault="00A94EE1">
      <w:pPr>
        <w:spacing w:after="0"/>
        <w:rPr>
          <w:rFonts w:asciiTheme="minorHAnsi" w:hAnsiTheme="minorHAnsi" w:cstheme="minorHAnsi"/>
          <w:b/>
          <w:bCs/>
          <w:caps/>
          <w:color w:val="46515B"/>
          <w:sz w:val="28"/>
        </w:rPr>
      </w:pPr>
      <w:r>
        <w:rPr>
          <w:rFonts w:cstheme="minorHAnsi"/>
        </w:rPr>
        <w:br w:type="page"/>
      </w:r>
    </w:p>
    <w:p w14:paraId="49B73483" w14:textId="77777777" w:rsidR="006B5F2A" w:rsidRPr="00A92D3F" w:rsidRDefault="006B5F2A" w:rsidP="006B5F2A">
      <w:pPr>
        <w:pStyle w:val="Heading2"/>
        <w:rPr>
          <w:rFonts w:cstheme="minorHAnsi"/>
        </w:rPr>
      </w:pPr>
      <w:bookmarkStart w:id="51" w:name="_Toc465089728"/>
      <w:r w:rsidRPr="00A92D3F">
        <w:rPr>
          <w:rFonts w:cstheme="minorHAnsi"/>
        </w:rPr>
        <w:t>ANNEX 4</w:t>
      </w:r>
      <w:bookmarkEnd w:id="50"/>
      <w:bookmarkEnd w:id="51"/>
    </w:p>
    <w:p w14:paraId="14666A26" w14:textId="77777777" w:rsidR="006B5F2A" w:rsidRPr="00A92D3F" w:rsidRDefault="006B5F2A" w:rsidP="00A94EE1">
      <w:pPr>
        <w:pStyle w:val="Heading2"/>
        <w:spacing w:before="0"/>
        <w:ind w:left="576"/>
        <w:jc w:val="center"/>
        <w:rPr>
          <w:rFonts w:cstheme="minorHAnsi"/>
          <w:szCs w:val="28"/>
        </w:rPr>
      </w:pPr>
      <w:bookmarkStart w:id="52" w:name="_Toc398561849"/>
      <w:bookmarkStart w:id="53" w:name="_Toc465089729"/>
      <w:r w:rsidRPr="00A92D3F">
        <w:rPr>
          <w:rFonts w:cstheme="minorHAnsi"/>
          <w:szCs w:val="28"/>
        </w:rPr>
        <w:t>QUICK REFERENCE GUIDE</w:t>
      </w:r>
      <w:bookmarkEnd w:id="52"/>
      <w:bookmarkEnd w:id="53"/>
    </w:p>
    <w:p w14:paraId="3802DE24" w14:textId="77777777" w:rsidR="006B5F2A" w:rsidRPr="00A94EE1" w:rsidRDefault="006B5F2A" w:rsidP="006B5F2A">
      <w:pPr>
        <w:rPr>
          <w:rFonts w:asciiTheme="minorHAnsi" w:hAnsiTheme="minorHAnsi" w:cstheme="minorHAnsi"/>
          <w:sz w:val="22"/>
          <w:szCs w:val="22"/>
        </w:rPr>
      </w:pPr>
      <w:r w:rsidRPr="00A94EE1">
        <w:rPr>
          <w:rFonts w:asciiTheme="minorHAnsi" w:hAnsiTheme="minorHAnsi" w:cstheme="minorHAnsi"/>
          <w:sz w:val="22"/>
          <w:szCs w:val="22"/>
        </w:rPr>
        <w:t>ACTIONS REQUIRED IN THE EVENT OF DEATH OF A TSE DESIGNATED ZOO ANIMAL</w:t>
      </w:r>
    </w:p>
    <w:p w14:paraId="6110D69B" w14:textId="77777777" w:rsidR="006B5F2A" w:rsidRDefault="006B5F2A" w:rsidP="006B5F2A">
      <w:pPr>
        <w:pStyle w:val="ListParagraph"/>
        <w:ind w:left="0"/>
        <w:rPr>
          <w:rFonts w:asciiTheme="minorHAnsi" w:hAnsiTheme="minorHAnsi" w:cstheme="minorHAnsi"/>
          <w:sz w:val="22"/>
          <w:szCs w:val="22"/>
        </w:rPr>
      </w:pPr>
      <w:r w:rsidRPr="00A94EE1">
        <w:rPr>
          <w:rFonts w:asciiTheme="minorHAnsi" w:hAnsiTheme="minorHAnsi" w:cstheme="minorHAnsi"/>
          <w:b/>
          <w:sz w:val="22"/>
          <w:szCs w:val="22"/>
        </w:rPr>
        <w:t>ALL designated zoo animals should receive a complete post mortem examination to determine the cause of death</w:t>
      </w:r>
      <w:r w:rsidRPr="00A94EE1">
        <w:rPr>
          <w:rFonts w:asciiTheme="minorHAnsi" w:hAnsiTheme="minorHAnsi" w:cstheme="minorHAnsi"/>
          <w:sz w:val="22"/>
          <w:szCs w:val="22"/>
        </w:rPr>
        <w:t>. These guidelines have been developed to ensure investigation is conducted in a nationally consistent manner.</w:t>
      </w:r>
    </w:p>
    <w:p w14:paraId="5E05D5BE" w14:textId="77777777" w:rsidR="00A94EE1" w:rsidRPr="00A94EE1" w:rsidRDefault="00A94EE1" w:rsidP="006B5F2A">
      <w:pPr>
        <w:pStyle w:val="ListParagraph"/>
        <w:ind w:left="0"/>
        <w:rPr>
          <w:rFonts w:asciiTheme="minorHAnsi" w:hAnsiTheme="minorHAnsi" w:cstheme="minorHAnsi"/>
          <w:sz w:val="22"/>
          <w:szCs w:val="22"/>
        </w:rPr>
      </w:pPr>
    </w:p>
    <w:p w14:paraId="20E5C745" w14:textId="77777777" w:rsidR="006B5F2A" w:rsidRPr="00A94EE1" w:rsidRDefault="006B5F2A" w:rsidP="00A94EE1">
      <w:pPr>
        <w:pStyle w:val="ListParagraph"/>
        <w:spacing w:before="240"/>
        <w:ind w:left="0"/>
        <w:rPr>
          <w:rFonts w:asciiTheme="minorHAnsi" w:hAnsiTheme="minorHAnsi" w:cstheme="minorHAnsi"/>
          <w:b/>
          <w:sz w:val="22"/>
          <w:szCs w:val="22"/>
          <w:u w:val="single"/>
        </w:rPr>
      </w:pPr>
      <w:r w:rsidRPr="00A94EE1">
        <w:rPr>
          <w:rFonts w:asciiTheme="minorHAnsi" w:hAnsiTheme="minorHAnsi" w:cstheme="minorHAnsi"/>
          <w:b/>
          <w:sz w:val="22"/>
          <w:szCs w:val="22"/>
          <w:u w:val="single"/>
        </w:rPr>
        <w:t>Administration</w:t>
      </w:r>
    </w:p>
    <w:p w14:paraId="2A1A7577" w14:textId="77777777" w:rsidR="006B5F2A" w:rsidRPr="00A94EE1" w:rsidRDefault="006B5F2A" w:rsidP="00A94EE1">
      <w:pPr>
        <w:pStyle w:val="ListParagraph"/>
        <w:ind w:left="360"/>
        <w:rPr>
          <w:rFonts w:asciiTheme="minorHAnsi" w:hAnsiTheme="minorHAnsi" w:cstheme="minorHAnsi"/>
          <w:i/>
          <w:color w:val="000000"/>
          <w:sz w:val="22"/>
          <w:szCs w:val="22"/>
        </w:rPr>
      </w:pPr>
      <w:r w:rsidRPr="00A94EE1">
        <w:rPr>
          <w:rFonts w:asciiTheme="minorHAnsi" w:hAnsiTheme="minorHAnsi" w:cstheme="minorHAnsi"/>
          <w:i/>
          <w:color w:val="000000"/>
          <w:sz w:val="22"/>
          <w:szCs w:val="22"/>
        </w:rPr>
        <w:t>(Note: zoos should, in advance, fill in the relevant information below, for their jurisdiction, to allow quick access when required)</w:t>
      </w:r>
    </w:p>
    <w:p w14:paraId="54191013" w14:textId="0486931C" w:rsidR="006B5F2A" w:rsidRPr="00A94EE1" w:rsidRDefault="006B5F2A" w:rsidP="00A94EE1">
      <w:pPr>
        <w:pStyle w:val="ListParagraph"/>
        <w:numPr>
          <w:ilvl w:val="0"/>
          <w:numId w:val="12"/>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 xml:space="preserve">National Transmissible Spongiform Encephalopathies </w:t>
      </w:r>
      <w:r w:rsidR="00A94EE1">
        <w:rPr>
          <w:rFonts w:asciiTheme="minorHAnsi" w:hAnsiTheme="minorHAnsi" w:cstheme="minorHAnsi"/>
          <w:sz w:val="22"/>
          <w:szCs w:val="22"/>
        </w:rPr>
        <w:t>Surveillance Project</w:t>
      </w:r>
      <w:r w:rsidRPr="00A94EE1">
        <w:rPr>
          <w:rFonts w:asciiTheme="minorHAnsi" w:hAnsiTheme="minorHAnsi" w:cstheme="minorHAnsi"/>
          <w:sz w:val="22"/>
          <w:szCs w:val="22"/>
        </w:rPr>
        <w:t xml:space="preserve"> state/</w:t>
      </w:r>
      <w:r w:rsidR="004A671D">
        <w:rPr>
          <w:rFonts w:asciiTheme="minorHAnsi" w:hAnsiTheme="minorHAnsi" w:cstheme="minorHAnsi"/>
          <w:sz w:val="22"/>
          <w:szCs w:val="22"/>
        </w:rPr>
        <w:t xml:space="preserve"> </w:t>
      </w:r>
      <w:r w:rsidRPr="00A94EE1">
        <w:rPr>
          <w:rFonts w:asciiTheme="minorHAnsi" w:hAnsiTheme="minorHAnsi" w:cstheme="minorHAnsi"/>
          <w:sz w:val="22"/>
          <w:szCs w:val="22"/>
        </w:rPr>
        <w:t>territory coordinators may be good sources of information. See Annex 3</w:t>
      </w:r>
    </w:p>
    <w:p w14:paraId="608A8B6E" w14:textId="77777777" w:rsidR="006B5F2A" w:rsidRPr="00A94EE1" w:rsidRDefault="006B5F2A" w:rsidP="006B5F2A">
      <w:pPr>
        <w:pStyle w:val="ListParagraph"/>
        <w:spacing w:before="240" w:line="360" w:lineRule="auto"/>
        <w:ind w:left="1440"/>
        <w:rPr>
          <w:rFonts w:asciiTheme="minorHAnsi" w:hAnsiTheme="minorHAnsi" w:cstheme="minorHAnsi"/>
          <w:sz w:val="22"/>
          <w:szCs w:val="22"/>
        </w:rPr>
      </w:pPr>
      <w:r w:rsidRPr="00A94EE1">
        <w:rPr>
          <w:rFonts w:asciiTheme="minorHAnsi" w:hAnsiTheme="minorHAnsi" w:cstheme="minorHAnsi"/>
          <w:sz w:val="22"/>
          <w:szCs w:val="22"/>
        </w:rPr>
        <w:t>Name: ____________________</w:t>
      </w:r>
      <w:r w:rsidRPr="00A94EE1">
        <w:rPr>
          <w:rFonts w:asciiTheme="minorHAnsi" w:hAnsiTheme="minorHAnsi" w:cstheme="minorHAnsi"/>
          <w:sz w:val="22"/>
          <w:szCs w:val="22"/>
        </w:rPr>
        <w:tab/>
        <w:t>Contact details: _____________________</w:t>
      </w:r>
    </w:p>
    <w:p w14:paraId="3E13F5B2" w14:textId="77777777" w:rsidR="006B5F2A" w:rsidRPr="00A94EE1" w:rsidRDefault="006B5F2A" w:rsidP="00A94EE1">
      <w:pPr>
        <w:pStyle w:val="ListParagraph"/>
        <w:numPr>
          <w:ilvl w:val="0"/>
          <w:numId w:val="12"/>
        </w:numPr>
        <w:spacing w:before="240" w:after="200" w:line="276" w:lineRule="auto"/>
        <w:rPr>
          <w:rFonts w:asciiTheme="minorHAnsi" w:hAnsiTheme="minorHAnsi" w:cstheme="minorHAnsi"/>
          <w:sz w:val="22"/>
          <w:szCs w:val="22"/>
        </w:rPr>
      </w:pPr>
      <w:r w:rsidRPr="00A94EE1">
        <w:rPr>
          <w:rFonts w:asciiTheme="minorHAnsi" w:hAnsiTheme="minorHAnsi" w:cstheme="minorHAnsi"/>
          <w:sz w:val="22"/>
          <w:szCs w:val="22"/>
        </w:rPr>
        <w:t xml:space="preserve">The state/territory CVO must be informed of the death. </w:t>
      </w:r>
    </w:p>
    <w:p w14:paraId="1EC5755F" w14:textId="77777777" w:rsidR="006B5F2A" w:rsidRPr="00A94EE1" w:rsidRDefault="006B5F2A" w:rsidP="00A94EE1">
      <w:pPr>
        <w:pStyle w:val="ListParagraph"/>
        <w:spacing w:before="240" w:line="360" w:lineRule="auto"/>
        <w:ind w:left="1440"/>
        <w:rPr>
          <w:rFonts w:asciiTheme="minorHAnsi" w:hAnsiTheme="minorHAnsi" w:cstheme="minorHAnsi"/>
          <w:sz w:val="22"/>
          <w:szCs w:val="22"/>
        </w:rPr>
      </w:pPr>
      <w:r w:rsidRPr="00A94EE1">
        <w:rPr>
          <w:rFonts w:asciiTheme="minorHAnsi" w:hAnsiTheme="minorHAnsi" w:cstheme="minorHAnsi"/>
          <w:sz w:val="22"/>
          <w:szCs w:val="22"/>
        </w:rPr>
        <w:t>Name: ____________________</w:t>
      </w:r>
      <w:r w:rsidRPr="00A94EE1">
        <w:rPr>
          <w:rFonts w:asciiTheme="minorHAnsi" w:hAnsiTheme="minorHAnsi" w:cstheme="minorHAnsi"/>
          <w:sz w:val="22"/>
          <w:szCs w:val="22"/>
        </w:rPr>
        <w:tab/>
        <w:t>Contact details: _____________________</w:t>
      </w:r>
    </w:p>
    <w:p w14:paraId="183490D6" w14:textId="77777777" w:rsidR="006B5F2A" w:rsidRPr="00A94EE1" w:rsidRDefault="006B5F2A" w:rsidP="006B5F2A">
      <w:pPr>
        <w:pStyle w:val="ListParagraph"/>
        <w:ind w:left="0"/>
        <w:rPr>
          <w:rFonts w:asciiTheme="minorHAnsi" w:hAnsiTheme="minorHAnsi" w:cstheme="minorHAnsi"/>
          <w:b/>
          <w:sz w:val="22"/>
          <w:szCs w:val="22"/>
          <w:u w:val="single"/>
        </w:rPr>
      </w:pPr>
      <w:r w:rsidRPr="00A94EE1">
        <w:rPr>
          <w:rFonts w:asciiTheme="minorHAnsi" w:hAnsiTheme="minorHAnsi" w:cstheme="minorHAnsi"/>
          <w:b/>
          <w:sz w:val="22"/>
          <w:szCs w:val="22"/>
          <w:u w:val="single"/>
        </w:rPr>
        <w:t>Necropsy - preparation</w:t>
      </w:r>
    </w:p>
    <w:p w14:paraId="33A5149F" w14:textId="77777777" w:rsidR="006B5F2A" w:rsidRPr="00A94EE1" w:rsidRDefault="006B5F2A" w:rsidP="00A94EE1">
      <w:pPr>
        <w:pStyle w:val="ListParagraph"/>
        <w:numPr>
          <w:ilvl w:val="0"/>
          <w:numId w:val="13"/>
        </w:numPr>
        <w:spacing w:after="200"/>
        <w:rPr>
          <w:rFonts w:asciiTheme="minorHAnsi" w:hAnsiTheme="minorHAnsi" w:cstheme="minorHAnsi"/>
          <w:sz w:val="22"/>
          <w:szCs w:val="22"/>
        </w:rPr>
      </w:pPr>
      <w:r w:rsidRPr="00A94EE1">
        <w:rPr>
          <w:rFonts w:asciiTheme="minorHAnsi" w:hAnsiTheme="minorHAnsi" w:cstheme="minorHAnsi"/>
          <w:sz w:val="22"/>
          <w:szCs w:val="22"/>
        </w:rPr>
        <w:t>For human health and safety reasons, the number of staff involved (both directly and indirectly) in the post mortem examination should be minimised. Nevertheless, the staff member in charge of the post mortem procedure should ensure sufficient personnel are present to safely manage all aspects of necropsy and manual handling.</w:t>
      </w:r>
    </w:p>
    <w:p w14:paraId="5F14D80C" w14:textId="77777777" w:rsidR="006B5F2A" w:rsidRPr="00A94EE1" w:rsidRDefault="006B5F2A" w:rsidP="00A94EE1">
      <w:pPr>
        <w:pStyle w:val="ListParagraph"/>
        <w:numPr>
          <w:ilvl w:val="0"/>
          <w:numId w:val="13"/>
        </w:numPr>
        <w:spacing w:after="200"/>
        <w:rPr>
          <w:rFonts w:asciiTheme="minorHAnsi" w:hAnsiTheme="minorHAnsi" w:cstheme="minorHAnsi"/>
          <w:sz w:val="22"/>
          <w:szCs w:val="22"/>
        </w:rPr>
      </w:pPr>
      <w:r w:rsidRPr="00A94EE1">
        <w:rPr>
          <w:rFonts w:asciiTheme="minorHAnsi" w:hAnsiTheme="minorHAnsi" w:cstheme="minorHAnsi"/>
          <w:sz w:val="22"/>
          <w:szCs w:val="22"/>
        </w:rPr>
        <w:t>One person should be assigned as a clean scribe/runner, to minimise contamination risks.</w:t>
      </w:r>
    </w:p>
    <w:p w14:paraId="3DB13EB8" w14:textId="77777777" w:rsidR="006B5F2A" w:rsidRPr="00A94EE1" w:rsidRDefault="006B5F2A" w:rsidP="00A94EE1">
      <w:pPr>
        <w:pStyle w:val="ListParagraph"/>
        <w:numPr>
          <w:ilvl w:val="0"/>
          <w:numId w:val="13"/>
        </w:numPr>
        <w:spacing w:after="200"/>
        <w:rPr>
          <w:rFonts w:asciiTheme="minorHAnsi" w:hAnsiTheme="minorHAnsi" w:cstheme="minorHAnsi"/>
          <w:sz w:val="22"/>
          <w:szCs w:val="22"/>
        </w:rPr>
      </w:pPr>
      <w:r w:rsidRPr="00A94EE1">
        <w:rPr>
          <w:rFonts w:asciiTheme="minorHAnsi" w:hAnsiTheme="minorHAnsi" w:cstheme="minorHAnsi"/>
          <w:sz w:val="22"/>
          <w:szCs w:val="22"/>
        </w:rPr>
        <w:t>Minimum Personal Protective Equipment (PPE) to be worn during the post mortem examination:</w:t>
      </w:r>
    </w:p>
    <w:p w14:paraId="53BFE412"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Disposable, impermeable gloves and</w:t>
      </w:r>
    </w:p>
    <w:p w14:paraId="039D6E78"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N95/P2 mask and</w:t>
      </w:r>
    </w:p>
    <w:p w14:paraId="49A3A299"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Eye protection (against splash) and</w:t>
      </w:r>
    </w:p>
    <w:p w14:paraId="25A1997B"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Wellington boots (gumboots) and</w:t>
      </w:r>
    </w:p>
    <w:p w14:paraId="4389CB9D"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Protective clothing which can be removed prior to leaving necropsy area and</w:t>
      </w:r>
    </w:p>
    <w:p w14:paraId="18552E43"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All open wounds must be covered with a waterproof dressing.</w:t>
      </w:r>
    </w:p>
    <w:p w14:paraId="16DC8D38" w14:textId="77777777" w:rsidR="006B5F2A" w:rsidRPr="00A94EE1" w:rsidRDefault="006B5F2A" w:rsidP="00A94EE1">
      <w:pPr>
        <w:pStyle w:val="ListParagraph"/>
        <w:numPr>
          <w:ilvl w:val="0"/>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Consideration should also be given to using the following, higher level PPE:</w:t>
      </w:r>
    </w:p>
    <w:p w14:paraId="26225EC2"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Disposable, impermeable gowns or coveralls (note: impermeable coveralls can quickly result in bodily overheating in a warm environment or when staff are undertaking physical exertion. It is recommended that they be worn for a maximum of 20 minutes at a time in conditions of heat stress).</w:t>
      </w:r>
    </w:p>
    <w:p w14:paraId="0F9A01E9" w14:textId="77777777" w:rsidR="006B5F2A" w:rsidRPr="00A94EE1" w:rsidRDefault="006B5F2A" w:rsidP="00A94EE1">
      <w:pPr>
        <w:pStyle w:val="ListParagraph"/>
        <w:numPr>
          <w:ilvl w:val="1"/>
          <w:numId w:val="13"/>
        </w:numPr>
        <w:spacing w:after="200" w:line="276" w:lineRule="auto"/>
        <w:rPr>
          <w:rFonts w:asciiTheme="minorHAnsi" w:hAnsiTheme="minorHAnsi" w:cstheme="minorHAnsi"/>
          <w:sz w:val="22"/>
          <w:szCs w:val="22"/>
        </w:rPr>
      </w:pPr>
      <w:r w:rsidRPr="00A94EE1">
        <w:rPr>
          <w:rFonts w:asciiTheme="minorHAnsi" w:hAnsiTheme="minorHAnsi" w:cstheme="minorHAnsi"/>
          <w:sz w:val="22"/>
          <w:szCs w:val="22"/>
        </w:rPr>
        <w:t>Cut resistant gloves (EN 388)</w:t>
      </w:r>
    </w:p>
    <w:p w14:paraId="2247FB6C" w14:textId="77777777" w:rsidR="006B5F2A" w:rsidRPr="00A94EE1" w:rsidRDefault="006B5F2A" w:rsidP="00A94EE1">
      <w:pPr>
        <w:numPr>
          <w:ilvl w:val="0"/>
          <w:numId w:val="13"/>
        </w:numPr>
        <w:spacing w:after="0"/>
        <w:rPr>
          <w:rFonts w:asciiTheme="minorHAnsi" w:hAnsiTheme="minorHAnsi" w:cstheme="minorHAnsi"/>
          <w:sz w:val="22"/>
          <w:szCs w:val="22"/>
        </w:rPr>
      </w:pPr>
      <w:r w:rsidRPr="00A94EE1">
        <w:rPr>
          <w:rFonts w:asciiTheme="minorHAnsi" w:hAnsiTheme="minorHAnsi" w:cstheme="minorHAnsi"/>
          <w:sz w:val="22"/>
          <w:szCs w:val="22"/>
        </w:rPr>
        <w:t>Consideration should be given to ease of decontamination of the working surfaces at completion of the post mortem examination. Washing down of the work area should be minimised and consideration may be given to collection of washings in a sump for decontamination prior to disposal.</w:t>
      </w:r>
    </w:p>
    <w:p w14:paraId="3E85256B" w14:textId="77777777" w:rsidR="006B5F2A" w:rsidRDefault="006B5F2A" w:rsidP="00A94EE1">
      <w:pPr>
        <w:pStyle w:val="ListParagraph"/>
        <w:numPr>
          <w:ilvl w:val="0"/>
          <w:numId w:val="13"/>
        </w:numPr>
        <w:rPr>
          <w:rFonts w:asciiTheme="minorHAnsi" w:hAnsiTheme="minorHAnsi" w:cstheme="minorHAnsi"/>
          <w:sz w:val="22"/>
          <w:szCs w:val="22"/>
        </w:rPr>
      </w:pPr>
      <w:r w:rsidRPr="00A94EE1">
        <w:rPr>
          <w:rFonts w:asciiTheme="minorHAnsi" w:hAnsiTheme="minorHAnsi" w:cstheme="minorHAnsi"/>
          <w:sz w:val="22"/>
          <w:szCs w:val="22"/>
        </w:rPr>
        <w:t>In the case of large carcases, the necropsy should preferably be undertaken in a suitable enclosed area which can be appropriately disinfected at the end of the procedure. Performing necropsies outdoors may mean that effective disinfection of the environment is difficult to achieve, due to organic material such as soil and vegetation. If possible, outdoor necropsies should be performed in areas and on surfaces that can be effectively disinfected. Alternatively, contamination risk may be minimised if removal of the brain and examination of the gastro-intestinal tract are undertaken in a contained, indoor environment. Consideration may also be given to arranging for the State/ Territory veterinary laboratories (which would have suitable indoor facilities for large animal necropsy) to perform the necropsy.</w:t>
      </w:r>
    </w:p>
    <w:p w14:paraId="14F942C7" w14:textId="77777777" w:rsidR="00A94EE1" w:rsidRPr="00A94EE1" w:rsidRDefault="00A94EE1" w:rsidP="00E4420B">
      <w:pPr>
        <w:pStyle w:val="ListParagraph"/>
        <w:rPr>
          <w:rFonts w:asciiTheme="minorHAnsi" w:hAnsiTheme="minorHAnsi" w:cstheme="minorHAnsi"/>
          <w:sz w:val="22"/>
          <w:szCs w:val="22"/>
        </w:rPr>
      </w:pPr>
    </w:p>
    <w:p w14:paraId="39839C04" w14:textId="77777777" w:rsidR="006B5F2A" w:rsidRPr="00A94EE1" w:rsidRDefault="006B5F2A" w:rsidP="00A94EE1">
      <w:pPr>
        <w:pStyle w:val="ListParagraph"/>
        <w:spacing w:before="240"/>
        <w:ind w:left="0"/>
        <w:rPr>
          <w:rFonts w:asciiTheme="minorHAnsi" w:hAnsiTheme="minorHAnsi" w:cstheme="minorHAnsi"/>
          <w:b/>
          <w:sz w:val="22"/>
          <w:szCs w:val="22"/>
          <w:u w:val="single"/>
        </w:rPr>
      </w:pPr>
      <w:r w:rsidRPr="00A94EE1">
        <w:rPr>
          <w:rFonts w:asciiTheme="minorHAnsi" w:hAnsiTheme="minorHAnsi" w:cstheme="minorHAnsi"/>
          <w:b/>
          <w:sz w:val="22"/>
          <w:szCs w:val="22"/>
          <w:u w:val="single"/>
        </w:rPr>
        <w:t xml:space="preserve">Necropsy – sample collection </w:t>
      </w:r>
    </w:p>
    <w:p w14:paraId="0905297C" w14:textId="77777777" w:rsidR="006B5F2A" w:rsidRPr="00A94EE1" w:rsidRDefault="006B5F2A" w:rsidP="006B5F2A">
      <w:pPr>
        <w:pStyle w:val="ListParagraph"/>
        <w:ind w:left="360"/>
        <w:rPr>
          <w:rFonts w:asciiTheme="minorHAnsi" w:hAnsiTheme="minorHAnsi" w:cstheme="minorHAnsi"/>
          <w:i/>
          <w:color w:val="000000"/>
          <w:sz w:val="22"/>
          <w:szCs w:val="22"/>
        </w:rPr>
      </w:pPr>
      <w:r w:rsidRPr="00A94EE1">
        <w:rPr>
          <w:rFonts w:asciiTheme="minorHAnsi" w:hAnsiTheme="minorHAnsi" w:cstheme="minorHAnsi"/>
          <w:i/>
          <w:sz w:val="22"/>
          <w:szCs w:val="22"/>
        </w:rPr>
        <w:t xml:space="preserve">Note: The brain, spleen </w:t>
      </w:r>
      <w:r w:rsidRPr="00A94EE1">
        <w:rPr>
          <w:rFonts w:asciiTheme="minorHAnsi" w:hAnsiTheme="minorHAnsi" w:cstheme="minorHAnsi"/>
          <w:i/>
          <w:color w:val="000000"/>
          <w:sz w:val="22"/>
          <w:szCs w:val="22"/>
        </w:rPr>
        <w:t xml:space="preserve">and gut-associated-lymphoid tissue (GALT) are known foci of prion proliferation and should be sampled as priorities. The GALT include enteric lymph nodes, tonsils, Peyer’s patches and retropharyngeal lymph nodes. If there is difficulty in identifying some of these less frequently sampled tissues, collection of brain, spleen and enteric lymph nodes will be sufficient. </w:t>
      </w:r>
    </w:p>
    <w:p w14:paraId="26154055" w14:textId="77777777" w:rsidR="006B5F2A" w:rsidRPr="00A94EE1" w:rsidRDefault="006B5F2A" w:rsidP="00E4420B">
      <w:pPr>
        <w:pStyle w:val="ListParagraph"/>
        <w:numPr>
          <w:ilvl w:val="0"/>
          <w:numId w:val="13"/>
        </w:numPr>
        <w:spacing w:after="200"/>
        <w:rPr>
          <w:rFonts w:asciiTheme="minorHAnsi" w:hAnsiTheme="minorHAnsi" w:cstheme="minorHAnsi"/>
          <w:sz w:val="22"/>
          <w:szCs w:val="22"/>
        </w:rPr>
      </w:pPr>
      <w:r w:rsidRPr="00A94EE1">
        <w:rPr>
          <w:rFonts w:asciiTheme="minorHAnsi" w:hAnsiTheme="minorHAnsi" w:cstheme="minorHAnsi"/>
          <w:sz w:val="22"/>
          <w:szCs w:val="22"/>
        </w:rPr>
        <w:t>A representative sample (ideally ≥ 1 cm</w:t>
      </w:r>
      <w:r w:rsidRPr="00A94EE1">
        <w:rPr>
          <w:rFonts w:asciiTheme="minorHAnsi" w:hAnsiTheme="minorHAnsi" w:cstheme="minorHAnsi"/>
          <w:sz w:val="22"/>
          <w:szCs w:val="22"/>
          <w:vertAlign w:val="superscript"/>
        </w:rPr>
        <w:t>3</w:t>
      </w:r>
      <w:r w:rsidRPr="00A94EE1">
        <w:rPr>
          <w:rFonts w:asciiTheme="minorHAnsi" w:hAnsiTheme="minorHAnsi" w:cstheme="minorHAnsi"/>
          <w:sz w:val="22"/>
          <w:szCs w:val="22"/>
        </w:rPr>
        <w:t>) of the following tissues should be collected and stored frozen, preferably at -80</w:t>
      </w:r>
      <w:r w:rsidRPr="00A94EE1">
        <w:rPr>
          <w:rFonts w:asciiTheme="minorHAnsi" w:hAnsiTheme="minorHAnsi" w:cstheme="minorHAnsi"/>
          <w:sz w:val="22"/>
          <w:szCs w:val="22"/>
          <w:vertAlign w:val="superscript"/>
        </w:rPr>
        <w:t>0</w:t>
      </w:r>
      <w:r w:rsidRPr="00A94EE1">
        <w:rPr>
          <w:rFonts w:asciiTheme="minorHAnsi" w:hAnsiTheme="minorHAnsi" w:cstheme="minorHAnsi"/>
          <w:sz w:val="22"/>
          <w:szCs w:val="22"/>
        </w:rPr>
        <w:t xml:space="preserve"> C</w:t>
      </w:r>
    </w:p>
    <w:p w14:paraId="1851BEE5"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Cervical spinal cord (collected from cranial surface of atlas following removal of head)</w:t>
      </w:r>
    </w:p>
    <w:p w14:paraId="13150BA5"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Lymph nodes (a representative sample of  4- 6 nodes from throughout the body, including if possible third eyelid, mesenteric lymph node and retropharyngeal lymph node)</w:t>
      </w:r>
    </w:p>
    <w:p w14:paraId="296C721D"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Spleen</w:t>
      </w:r>
    </w:p>
    <w:p w14:paraId="40628CB7"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Tonsils</w:t>
      </w:r>
      <w:r w:rsidRPr="00A94EE1">
        <w:rPr>
          <w:rStyle w:val="EndnoteReference"/>
          <w:rFonts w:asciiTheme="minorHAnsi" w:hAnsiTheme="minorHAnsi" w:cstheme="minorHAnsi"/>
          <w:sz w:val="22"/>
          <w:szCs w:val="22"/>
        </w:rPr>
        <w:t xml:space="preserve"> </w:t>
      </w:r>
      <w:r w:rsidRPr="00A94EE1">
        <w:rPr>
          <w:rFonts w:asciiTheme="minorHAnsi" w:hAnsiTheme="minorHAnsi" w:cstheme="minorHAnsi"/>
          <w:sz w:val="22"/>
          <w:szCs w:val="22"/>
        </w:rPr>
        <w:t>(the easiest to locate may be palatine)</w:t>
      </w:r>
    </w:p>
    <w:p w14:paraId="1FBD1B94"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Peyer’s patches</w:t>
      </w:r>
      <w:r w:rsidRPr="00A94EE1">
        <w:rPr>
          <w:rStyle w:val="EndnoteReference"/>
          <w:rFonts w:asciiTheme="minorHAnsi" w:hAnsiTheme="minorHAnsi" w:cstheme="minorHAnsi"/>
          <w:sz w:val="22"/>
          <w:szCs w:val="22"/>
        </w:rPr>
        <w:t xml:space="preserve"> </w:t>
      </w:r>
      <w:r w:rsidRPr="00A94EE1">
        <w:rPr>
          <w:rFonts w:asciiTheme="minorHAnsi" w:hAnsiTheme="minorHAnsi" w:cstheme="minorHAnsi"/>
          <w:sz w:val="22"/>
          <w:szCs w:val="22"/>
        </w:rPr>
        <w:t>(found on the antimesenteric surface of the ileum)</w:t>
      </w:r>
    </w:p>
    <w:p w14:paraId="34D7C11A" w14:textId="77777777" w:rsidR="006B5F2A" w:rsidRPr="00A94EE1" w:rsidRDefault="006B5F2A" w:rsidP="00E4420B">
      <w:pPr>
        <w:pStyle w:val="ListParagraph"/>
        <w:numPr>
          <w:ilvl w:val="0"/>
          <w:numId w:val="13"/>
        </w:numPr>
        <w:spacing w:after="200"/>
        <w:rPr>
          <w:rFonts w:asciiTheme="minorHAnsi" w:hAnsiTheme="minorHAnsi" w:cstheme="minorHAnsi"/>
          <w:sz w:val="22"/>
          <w:szCs w:val="22"/>
        </w:rPr>
      </w:pPr>
      <w:r w:rsidRPr="00A94EE1">
        <w:rPr>
          <w:rFonts w:asciiTheme="minorHAnsi" w:hAnsiTheme="minorHAnsi" w:cstheme="minorHAnsi"/>
          <w:sz w:val="22"/>
          <w:szCs w:val="22"/>
        </w:rPr>
        <w:t>Collect the following tissues fixed in 10% neutral buffered formalin. Sections should be no greater than 1cm thick in one plane.</w:t>
      </w:r>
    </w:p>
    <w:p w14:paraId="5417CF19"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 xml:space="preserve">Whole brain with brain stem attached, immersion fixed as one whole organ for a minimum of three days, preferably a week, in a large container and with sufficient volume of formalin to allow brain to float freely, </w:t>
      </w:r>
      <w:r w:rsidRPr="00A94EE1">
        <w:rPr>
          <w:rFonts w:asciiTheme="minorHAnsi" w:hAnsiTheme="minorHAnsi" w:cstheme="minorHAnsi"/>
          <w:b/>
          <w:sz w:val="22"/>
          <w:szCs w:val="22"/>
        </w:rPr>
        <w:t>cerebellum facing downwards</w:t>
      </w:r>
      <w:r w:rsidRPr="00A94EE1">
        <w:rPr>
          <w:rFonts w:asciiTheme="minorHAnsi" w:hAnsiTheme="minorHAnsi" w:cstheme="minorHAnsi"/>
          <w:sz w:val="22"/>
          <w:szCs w:val="22"/>
        </w:rPr>
        <w:t xml:space="preserve"> </w:t>
      </w:r>
    </w:p>
    <w:p w14:paraId="3070C4F4"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Lymph nodes</w:t>
      </w:r>
    </w:p>
    <w:p w14:paraId="71409A6E"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Spleen</w:t>
      </w:r>
    </w:p>
    <w:p w14:paraId="56716D57"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Tonsils</w:t>
      </w:r>
    </w:p>
    <w:p w14:paraId="587C745A" w14:textId="77777777" w:rsidR="006B5F2A" w:rsidRPr="00A94EE1" w:rsidRDefault="006B5F2A" w:rsidP="00E4420B">
      <w:pPr>
        <w:pStyle w:val="ListParagraph"/>
        <w:numPr>
          <w:ilvl w:val="1"/>
          <w:numId w:val="13"/>
        </w:numPr>
        <w:spacing w:after="200"/>
        <w:rPr>
          <w:rFonts w:asciiTheme="minorHAnsi" w:hAnsiTheme="minorHAnsi" w:cstheme="minorHAnsi"/>
          <w:sz w:val="22"/>
          <w:szCs w:val="22"/>
        </w:rPr>
      </w:pPr>
      <w:r w:rsidRPr="00A94EE1">
        <w:rPr>
          <w:rFonts w:asciiTheme="minorHAnsi" w:hAnsiTheme="minorHAnsi" w:cstheme="minorHAnsi"/>
          <w:sz w:val="22"/>
          <w:szCs w:val="22"/>
        </w:rPr>
        <w:t>Peyer’s patches</w:t>
      </w:r>
    </w:p>
    <w:p w14:paraId="44CBC031" w14:textId="77777777" w:rsidR="006B5F2A" w:rsidRPr="00A94EE1" w:rsidRDefault="006B5F2A" w:rsidP="006B5F2A">
      <w:pPr>
        <w:pStyle w:val="ListParagraph"/>
        <w:ind w:left="0"/>
        <w:rPr>
          <w:rFonts w:asciiTheme="minorHAnsi" w:hAnsiTheme="minorHAnsi" w:cstheme="minorHAnsi"/>
          <w:b/>
          <w:sz w:val="22"/>
          <w:szCs w:val="22"/>
          <w:u w:val="single"/>
        </w:rPr>
      </w:pPr>
      <w:r w:rsidRPr="00A94EE1">
        <w:rPr>
          <w:rFonts w:asciiTheme="minorHAnsi" w:hAnsiTheme="minorHAnsi" w:cstheme="minorHAnsi"/>
          <w:b/>
          <w:sz w:val="22"/>
          <w:szCs w:val="22"/>
          <w:u w:val="single"/>
        </w:rPr>
        <w:t>Clean up</w:t>
      </w:r>
    </w:p>
    <w:p w14:paraId="5798E3ED" w14:textId="77C03AA5" w:rsidR="006B5F2A" w:rsidRPr="00A94EE1" w:rsidRDefault="00385463" w:rsidP="00A94EE1">
      <w:pPr>
        <w:pStyle w:val="ListParagraph"/>
        <w:numPr>
          <w:ilvl w:val="0"/>
          <w:numId w:val="14"/>
        </w:numPr>
        <w:spacing w:after="200" w:line="276" w:lineRule="auto"/>
        <w:rPr>
          <w:rFonts w:asciiTheme="minorHAnsi" w:hAnsiTheme="minorHAnsi" w:cstheme="minorHAnsi"/>
          <w:b/>
          <w:sz w:val="22"/>
          <w:szCs w:val="22"/>
        </w:rPr>
      </w:pPr>
      <w:r w:rsidRPr="00A94EE1">
        <w:rPr>
          <w:rFonts w:asciiTheme="minorHAnsi" w:hAnsiTheme="minorHAnsi" w:cstheme="minorHAnsi"/>
          <w:sz w:val="22"/>
          <w:szCs w:val="22"/>
        </w:rPr>
        <w:t>Carcas</w:t>
      </w:r>
      <w:r>
        <w:rPr>
          <w:rFonts w:asciiTheme="minorHAnsi" w:hAnsiTheme="minorHAnsi" w:cstheme="minorHAnsi"/>
          <w:sz w:val="22"/>
          <w:szCs w:val="22"/>
        </w:rPr>
        <w:t xml:space="preserve">e </w:t>
      </w:r>
      <w:r w:rsidR="006B5F2A" w:rsidRPr="00A94EE1">
        <w:rPr>
          <w:rFonts w:asciiTheme="minorHAnsi" w:hAnsiTheme="minorHAnsi" w:cstheme="minorHAnsi"/>
          <w:sz w:val="22"/>
          <w:szCs w:val="22"/>
        </w:rPr>
        <w:t>and disposable materials should be double bagged and incinerated.</w:t>
      </w:r>
    </w:p>
    <w:p w14:paraId="1F6CE9EB" w14:textId="77777777" w:rsidR="006B5F2A" w:rsidRPr="00A94EE1" w:rsidRDefault="006B5F2A" w:rsidP="00E4420B">
      <w:pPr>
        <w:pStyle w:val="ListParagraph"/>
        <w:numPr>
          <w:ilvl w:val="0"/>
          <w:numId w:val="14"/>
        </w:numPr>
        <w:spacing w:after="200"/>
        <w:rPr>
          <w:rFonts w:asciiTheme="minorHAnsi" w:hAnsiTheme="minorHAnsi" w:cstheme="minorHAnsi"/>
          <w:sz w:val="22"/>
          <w:szCs w:val="22"/>
        </w:rPr>
      </w:pPr>
      <w:r w:rsidRPr="00A94EE1">
        <w:rPr>
          <w:rFonts w:asciiTheme="minorHAnsi" w:hAnsiTheme="minorHAnsi" w:cstheme="minorHAnsi"/>
          <w:sz w:val="22"/>
          <w:szCs w:val="22"/>
        </w:rPr>
        <w:t xml:space="preserve">Carcass disposal by deep burial is also acceptable. Rendering into meat and bone meal is not an acceptable means of disposal. </w:t>
      </w:r>
    </w:p>
    <w:p w14:paraId="3056A8A6" w14:textId="2B8CFB13" w:rsidR="006B5F2A" w:rsidRPr="00A94EE1" w:rsidRDefault="006B5F2A" w:rsidP="00E4420B">
      <w:pPr>
        <w:pStyle w:val="ListParagraph"/>
        <w:numPr>
          <w:ilvl w:val="0"/>
          <w:numId w:val="14"/>
        </w:numPr>
        <w:spacing w:after="200"/>
        <w:rPr>
          <w:rFonts w:asciiTheme="minorHAnsi" w:hAnsiTheme="minorHAnsi" w:cstheme="minorHAnsi"/>
          <w:b/>
          <w:sz w:val="22"/>
          <w:szCs w:val="22"/>
        </w:rPr>
      </w:pPr>
      <w:r w:rsidRPr="00A94EE1">
        <w:rPr>
          <w:rFonts w:asciiTheme="minorHAnsi" w:hAnsiTheme="minorHAnsi" w:cstheme="minorHAnsi"/>
          <w:sz w:val="22"/>
          <w:szCs w:val="22"/>
        </w:rPr>
        <w:t>Tools, instruments, surfaces and protective clothing should be cleaned of visible material with detergent and then decontaminated using sodium hypochlorite, sodium hydroxide or autoclaving (see Annex 1 for details)</w:t>
      </w:r>
      <w:r w:rsidR="00E4420B">
        <w:rPr>
          <w:rFonts w:asciiTheme="minorHAnsi" w:hAnsiTheme="minorHAnsi" w:cstheme="minorHAnsi"/>
          <w:sz w:val="22"/>
          <w:szCs w:val="22"/>
        </w:rPr>
        <w:t>.</w:t>
      </w:r>
    </w:p>
    <w:p w14:paraId="56F09D10" w14:textId="77777777" w:rsidR="006B5F2A" w:rsidRPr="00A94EE1" w:rsidRDefault="006B5F2A" w:rsidP="00E4420B">
      <w:pPr>
        <w:pStyle w:val="ListParagraph"/>
        <w:ind w:left="360"/>
        <w:rPr>
          <w:rFonts w:asciiTheme="minorHAnsi" w:hAnsiTheme="minorHAnsi" w:cstheme="minorHAnsi"/>
          <w:i/>
          <w:sz w:val="22"/>
          <w:szCs w:val="22"/>
        </w:rPr>
      </w:pPr>
      <w:r w:rsidRPr="00A94EE1">
        <w:rPr>
          <w:rFonts w:asciiTheme="minorHAnsi" w:hAnsiTheme="minorHAnsi" w:cstheme="minorHAnsi"/>
          <w:i/>
          <w:sz w:val="22"/>
          <w:szCs w:val="22"/>
        </w:rPr>
        <w:t>Note: Use of a washing machine to wash protective clothing will result in contamination of the machine. To avoid this, clothing can be sealed and frozen until results of testing are available. If negative, clothes can be washed as per normal. If positive, clothes and other items should be double bagged and incinerated.</w:t>
      </w:r>
    </w:p>
    <w:p w14:paraId="67C645F4" w14:textId="77777777" w:rsidR="006B5F2A" w:rsidRPr="00A94EE1" w:rsidRDefault="006B5F2A" w:rsidP="006B5F2A">
      <w:pPr>
        <w:pStyle w:val="ListParagraph"/>
        <w:rPr>
          <w:rFonts w:asciiTheme="minorHAnsi" w:hAnsiTheme="minorHAnsi" w:cstheme="minorHAnsi"/>
          <w:sz w:val="22"/>
          <w:szCs w:val="22"/>
        </w:rPr>
      </w:pPr>
    </w:p>
    <w:p w14:paraId="29D8FEEF" w14:textId="0F844904" w:rsidR="00A95B06" w:rsidRPr="00A92D3F" w:rsidRDefault="006B5F2A" w:rsidP="00E4420B">
      <w:pPr>
        <w:pStyle w:val="ListParagraph"/>
        <w:ind w:left="360"/>
        <w:rPr>
          <w:rFonts w:asciiTheme="minorHAnsi" w:hAnsiTheme="minorHAnsi" w:cstheme="minorHAnsi"/>
          <w:b/>
          <w:bCs/>
          <w:caps/>
          <w:sz w:val="28"/>
          <w:szCs w:val="28"/>
          <w:u w:color="46515B"/>
        </w:rPr>
      </w:pPr>
      <w:r w:rsidRPr="00A94EE1">
        <w:rPr>
          <w:rFonts w:asciiTheme="minorHAnsi" w:hAnsiTheme="minorHAnsi" w:cstheme="minorHAnsi"/>
          <w:sz w:val="22"/>
          <w:szCs w:val="22"/>
        </w:rPr>
        <w:t>See also:  http://www.animalhealthaustralia.com.au/what-we-do/disease-surveillance/tse-freedom-assurance-program/surveillance-of-tses/</w:t>
      </w:r>
      <w:r w:rsidRPr="00A94EE1" w:rsidDel="00DA40D0">
        <w:rPr>
          <w:rFonts w:asciiTheme="minorHAnsi" w:hAnsiTheme="minorHAnsi" w:cstheme="minorHAnsi"/>
          <w:sz w:val="22"/>
          <w:szCs w:val="22"/>
        </w:rPr>
        <w:t xml:space="preserve"> </w:t>
      </w:r>
      <w:r w:rsidRPr="00A94EE1">
        <w:rPr>
          <w:rFonts w:asciiTheme="minorHAnsi" w:hAnsiTheme="minorHAnsi" w:cstheme="minorHAnsi"/>
          <w:sz w:val="22"/>
          <w:szCs w:val="22"/>
        </w:rPr>
        <w:t xml:space="preserve">for more details on post mortem, sample collection and processing details. </w:t>
      </w:r>
      <w:r w:rsidR="00A95B06" w:rsidRPr="00A92D3F">
        <w:rPr>
          <w:rFonts w:asciiTheme="minorHAnsi" w:hAnsiTheme="minorHAnsi" w:cstheme="minorHAnsi"/>
          <w:b/>
          <w:bCs/>
          <w:caps/>
          <w:sz w:val="28"/>
          <w:szCs w:val="28"/>
          <w:u w:color="46515B"/>
        </w:rPr>
        <w:br w:type="page"/>
      </w:r>
    </w:p>
    <w:p w14:paraId="04B8D791" w14:textId="77777777" w:rsidR="00A95B06" w:rsidRPr="00A92D3F" w:rsidRDefault="00A95B06">
      <w:pPr>
        <w:spacing w:after="0"/>
        <w:rPr>
          <w:rFonts w:asciiTheme="minorHAnsi" w:hAnsiTheme="minorHAnsi" w:cstheme="minorHAnsi"/>
          <w:b/>
          <w:bCs/>
          <w:caps/>
          <w:sz w:val="28"/>
          <w:szCs w:val="28"/>
          <w:u w:color="46515B"/>
        </w:rPr>
      </w:pPr>
    </w:p>
    <w:p w14:paraId="423286C1" w14:textId="77777777" w:rsidR="0018003A" w:rsidRPr="00A92D3F" w:rsidRDefault="0018003A" w:rsidP="00A95B06">
      <w:pPr>
        <w:spacing w:after="0"/>
        <w:rPr>
          <w:rFonts w:asciiTheme="minorHAnsi" w:hAnsiTheme="minorHAnsi" w:cstheme="minorHAnsi"/>
          <w:b/>
          <w:bCs/>
          <w:caps/>
          <w:sz w:val="28"/>
          <w:szCs w:val="28"/>
          <w:u w:color="46515B"/>
        </w:rPr>
      </w:pPr>
    </w:p>
    <w:p w14:paraId="276872FB" w14:textId="77777777" w:rsidR="00A95B06" w:rsidRPr="00A92D3F" w:rsidRDefault="00A95B06" w:rsidP="00A95B06">
      <w:pPr>
        <w:spacing w:after="0"/>
        <w:rPr>
          <w:rFonts w:asciiTheme="minorHAnsi" w:hAnsiTheme="minorHAnsi" w:cstheme="minorHAnsi"/>
          <w:b/>
          <w:bCs/>
          <w:iCs/>
          <w:caps/>
          <w:color w:val="46515B"/>
          <w:sz w:val="28"/>
          <w:szCs w:val="28"/>
          <w:u w:color="46515B"/>
        </w:rPr>
      </w:pPr>
    </w:p>
    <w:p w14:paraId="6D0FCAFE" w14:textId="77777777" w:rsidR="00533117" w:rsidRPr="00A92D3F" w:rsidRDefault="00533117" w:rsidP="00533117">
      <w:pPr>
        <w:rPr>
          <w:rFonts w:asciiTheme="minorHAnsi" w:hAnsiTheme="minorHAnsi" w:cstheme="minorHAnsi"/>
        </w:rPr>
      </w:pPr>
    </w:p>
    <w:p w14:paraId="11EB5AE0" w14:textId="77777777" w:rsidR="00533117" w:rsidRPr="00A92D3F" w:rsidRDefault="00533117" w:rsidP="00533117">
      <w:pPr>
        <w:rPr>
          <w:rFonts w:asciiTheme="minorHAnsi" w:hAnsiTheme="minorHAnsi" w:cstheme="minorHAnsi"/>
        </w:rPr>
      </w:pPr>
    </w:p>
    <w:p w14:paraId="0D0A0CBC" w14:textId="77777777" w:rsidR="00CC68DE" w:rsidRPr="00A92D3F" w:rsidRDefault="0018003A" w:rsidP="00C5411E">
      <w:pPr>
        <w:pStyle w:val="Bullets"/>
        <w:numPr>
          <w:ilvl w:val="0"/>
          <w:numId w:val="0"/>
        </w:numPr>
        <w:ind w:left="720"/>
        <w:rPr>
          <w:rStyle w:val="BodyCopy"/>
          <w:rFonts w:cstheme="minorHAnsi"/>
          <w:b w:val="0"/>
          <w:color w:val="FF0000"/>
          <w:sz w:val="20"/>
        </w:rPr>
      </w:pPr>
      <w:r w:rsidRPr="00A92D3F">
        <w:rPr>
          <w:rFonts w:cstheme="minorHAnsi"/>
          <w:noProof/>
          <w:color w:val="FF0000"/>
          <w:sz w:val="20"/>
          <w:lang w:eastAsia="en-AU"/>
        </w:rPr>
        <w:drawing>
          <wp:anchor distT="0" distB="0" distL="114300" distR="114300" simplePos="0" relativeHeight="251666944" behindDoc="1" locked="1" layoutInCell="1" allowOverlap="1" wp14:anchorId="7CE70D54" wp14:editId="46F742AE">
            <wp:simplePos x="1603169" y="1151906"/>
            <wp:positionH relativeFrom="page">
              <wp:align>center</wp:align>
            </wp:positionH>
            <wp:positionV relativeFrom="page">
              <wp:align>top</wp:align>
            </wp:positionV>
            <wp:extent cx="7559675" cy="10697210"/>
            <wp:effectExtent l="0" t="0" r="317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A03952_Circle-Document-Back-Cover_Blue_151103.png"/>
                    <pic:cNvPicPr/>
                  </pic:nvPicPr>
                  <pic:blipFill>
                    <a:blip r:embed="rId28">
                      <a:extLst>
                        <a:ext uri="{28A0092B-C50C-407E-A947-70E740481C1C}">
                          <a14:useLocalDpi xmlns:a14="http://schemas.microsoft.com/office/drawing/2010/main" val="0"/>
                        </a:ext>
                      </a:extLst>
                    </a:blip>
                    <a:stretch>
                      <a:fillRect/>
                    </a:stretch>
                  </pic:blipFill>
                  <pic:spPr>
                    <a:xfrm>
                      <a:off x="0" y="0"/>
                      <a:ext cx="7559675" cy="10697210"/>
                    </a:xfrm>
                    <a:prstGeom prst="rect">
                      <a:avLst/>
                    </a:prstGeom>
                  </pic:spPr>
                </pic:pic>
              </a:graphicData>
            </a:graphic>
            <wp14:sizeRelH relativeFrom="margin">
              <wp14:pctWidth>0</wp14:pctWidth>
            </wp14:sizeRelH>
            <wp14:sizeRelV relativeFrom="margin">
              <wp14:pctHeight>0</wp14:pctHeight>
            </wp14:sizeRelV>
          </wp:anchor>
        </w:drawing>
      </w:r>
    </w:p>
    <w:sectPr w:rsidR="00CC68DE" w:rsidRPr="00A92D3F" w:rsidSect="00935DB8">
      <w:headerReference w:type="even" r:id="rId29"/>
      <w:headerReference w:type="default" r:id="rId30"/>
      <w:footerReference w:type="even" r:id="rId31"/>
      <w:footerReference w:type="default" r:id="rId32"/>
      <w:headerReference w:type="first" r:id="rId33"/>
      <w:footerReference w:type="first" r:id="rId34"/>
      <w:pgSz w:w="11907" w:h="16840" w:code="9"/>
      <w:pgMar w:top="1134" w:right="1797" w:bottom="1440" w:left="1797" w:header="1304"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FCC05" w14:textId="77777777" w:rsidR="00875847" w:rsidRDefault="00875847">
      <w:r>
        <w:separator/>
      </w:r>
    </w:p>
  </w:endnote>
  <w:endnote w:type="continuationSeparator" w:id="0">
    <w:p w14:paraId="01899A4B" w14:textId="77777777" w:rsidR="00875847" w:rsidRDefault="0087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2A1A4" w14:textId="32C230AB" w:rsidR="00E4420B" w:rsidRDefault="00E4420B" w:rsidP="00866C76">
    <w:pPr>
      <w:pStyle w:val="Footer"/>
      <w:rPr>
        <w:sz w:val="18"/>
      </w:rPr>
    </w:pPr>
  </w:p>
  <w:p w14:paraId="2E9E1489" w14:textId="7918F6F0" w:rsidR="00F5773D" w:rsidRPr="00B87637" w:rsidRDefault="00F5773D" w:rsidP="00F5773D">
    <w:pPr>
      <w:pStyle w:val="Footer"/>
      <w:rPr>
        <w:rFonts w:ascii="Calibri" w:hAnsi="Calibri" w:cs="Calibri"/>
      </w:rPr>
    </w:pPr>
    <w:r w:rsidRPr="00B87637">
      <w:rPr>
        <w:rFonts w:ascii="Calibri" w:hAnsi="Calibri" w:cs="Calibri"/>
        <w:sz w:val="18"/>
      </w:rPr>
      <w:t>Protocol for the Management of Zoo Animals Imported from Countries at Risk from TSEs 201</w:t>
    </w:r>
    <w:r w:rsidR="00712F40">
      <w:rPr>
        <w:rFonts w:ascii="Calibri" w:hAnsi="Calibri" w:cs="Calibri"/>
        <w:sz w:val="18"/>
      </w:rPr>
      <w:t>7-18</w:t>
    </w:r>
    <w:r w:rsidRPr="00B87637">
      <w:rPr>
        <w:rFonts w:ascii="Calibri" w:hAnsi="Calibri" w:cs="Calibri"/>
      </w:rPr>
      <w:tab/>
    </w:r>
    <w:r w:rsidRPr="00B87637">
      <w:rPr>
        <w:rFonts w:ascii="Calibri" w:hAnsi="Calibri" w:cs="Calibri"/>
      </w:rPr>
      <w:fldChar w:fldCharType="begin"/>
    </w:r>
    <w:r w:rsidRPr="00B87637">
      <w:rPr>
        <w:rFonts w:ascii="Calibri" w:hAnsi="Calibri" w:cs="Calibri"/>
      </w:rPr>
      <w:instrText xml:space="preserve"> PAGE   \* MERGEFORMAT </w:instrText>
    </w:r>
    <w:r w:rsidRPr="00B87637">
      <w:rPr>
        <w:rFonts w:ascii="Calibri" w:hAnsi="Calibri" w:cs="Calibri"/>
      </w:rPr>
      <w:fldChar w:fldCharType="separate"/>
    </w:r>
    <w:r w:rsidR="009967B3">
      <w:rPr>
        <w:rFonts w:ascii="Calibri" w:hAnsi="Calibri" w:cs="Calibri"/>
        <w:noProof/>
      </w:rPr>
      <w:t>1</w:t>
    </w:r>
    <w:r w:rsidRPr="00B87637">
      <w:rPr>
        <w:rFonts w:ascii="Calibri" w:hAnsi="Calibri" w:cs="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B3B8D" w14:textId="77777777" w:rsidR="00875847" w:rsidRDefault="008758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37C868F0" w14:textId="77777777" w:rsidR="00875847" w:rsidRDefault="00875847">
    <w:pPr>
      <w:pStyle w:val="Footer"/>
      <w:ind w:right="360"/>
    </w:pPr>
  </w:p>
  <w:p w14:paraId="1E6E9B6D" w14:textId="77777777" w:rsidR="00DF65D9" w:rsidRDefault="00DF65D9"/>
  <w:p w14:paraId="144D6F14" w14:textId="77777777" w:rsidR="00DF65D9" w:rsidRDefault="00DF65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B73A" w14:textId="77777777" w:rsidR="00875847" w:rsidRPr="00313E88" w:rsidRDefault="00875847" w:rsidP="00894BEA">
    <w:pPr>
      <w:pStyle w:val="Footer"/>
      <w:framePr w:w="301" w:h="241" w:hRule="exact" w:wrap="around" w:vAnchor="text" w:hAnchor="page" w:x="10743" w:y="1"/>
      <w:rPr>
        <w:rStyle w:val="PageNumber"/>
        <w:color w:val="46515B"/>
        <w:sz w:val="16"/>
        <w:szCs w:val="16"/>
      </w:rPr>
    </w:pPr>
    <w:r w:rsidRPr="00313E88">
      <w:rPr>
        <w:rStyle w:val="PageNumber"/>
        <w:color w:val="46515B"/>
        <w:sz w:val="16"/>
        <w:szCs w:val="16"/>
      </w:rPr>
      <w:fldChar w:fldCharType="begin"/>
    </w:r>
    <w:r w:rsidRPr="00313E88">
      <w:rPr>
        <w:rStyle w:val="PageNumber"/>
        <w:color w:val="46515B"/>
        <w:sz w:val="16"/>
        <w:szCs w:val="16"/>
      </w:rPr>
      <w:instrText xml:space="preserve">PAGE  </w:instrText>
    </w:r>
    <w:r w:rsidRPr="00313E88">
      <w:rPr>
        <w:rStyle w:val="PageNumber"/>
        <w:color w:val="46515B"/>
        <w:sz w:val="16"/>
        <w:szCs w:val="16"/>
      </w:rPr>
      <w:fldChar w:fldCharType="separate"/>
    </w:r>
    <w:r w:rsidR="00E872E0">
      <w:rPr>
        <w:rStyle w:val="PageNumber"/>
        <w:noProof/>
        <w:color w:val="46515B"/>
        <w:sz w:val="16"/>
        <w:szCs w:val="16"/>
      </w:rPr>
      <w:t>15</w:t>
    </w:r>
    <w:r w:rsidRPr="00313E88">
      <w:rPr>
        <w:rStyle w:val="PageNumber"/>
        <w:color w:val="46515B"/>
        <w:sz w:val="16"/>
        <w:szCs w:val="16"/>
      </w:rPr>
      <w:fldChar w:fldCharType="end"/>
    </w:r>
  </w:p>
  <w:p w14:paraId="7830AEDE" w14:textId="71AF61BC" w:rsidR="00DF65D9" w:rsidRPr="00B87637" w:rsidRDefault="006B5F2A" w:rsidP="00B87637">
    <w:pPr>
      <w:pStyle w:val="Footer"/>
      <w:spacing w:after="0" w:line="200" w:lineRule="exact"/>
      <w:ind w:left="-709" w:right="-901"/>
      <w:rPr>
        <w:rFonts w:asciiTheme="minorHAnsi" w:hAnsiTheme="minorHAnsi"/>
        <w:color w:val="46515B"/>
        <w:sz w:val="16"/>
        <w:szCs w:val="16"/>
      </w:rPr>
    </w:pPr>
    <w:r>
      <w:rPr>
        <w:rFonts w:asciiTheme="minorHAnsi" w:hAnsiTheme="minorHAnsi"/>
        <w:color w:val="46515B"/>
        <w:sz w:val="16"/>
        <w:szCs w:val="16"/>
      </w:rPr>
      <w:t>Protocol for management of DZAs 201</w:t>
    </w:r>
    <w:r w:rsidR="006F7D60">
      <w:rPr>
        <w:rFonts w:asciiTheme="minorHAnsi" w:hAnsiTheme="minorHAnsi"/>
        <w:color w:val="46515B"/>
        <w:sz w:val="16"/>
        <w:szCs w:val="16"/>
      </w:rPr>
      <w:t>7-18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B3DA" w14:textId="77777777" w:rsidR="00875847" w:rsidRDefault="00875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83233" w14:textId="77777777" w:rsidR="00875847" w:rsidRDefault="00875847">
      <w:r>
        <w:separator/>
      </w:r>
    </w:p>
  </w:footnote>
  <w:footnote w:type="continuationSeparator" w:id="0">
    <w:p w14:paraId="7CE648D9" w14:textId="77777777" w:rsidR="00875847" w:rsidRDefault="00875847">
      <w:r>
        <w:continuationSeparator/>
      </w:r>
    </w:p>
  </w:footnote>
  <w:footnote w:id="1">
    <w:p w14:paraId="212B285B" w14:textId="77777777" w:rsidR="006B5F2A" w:rsidRPr="00A92D3F" w:rsidRDefault="006B5F2A" w:rsidP="006B5F2A">
      <w:pPr>
        <w:pStyle w:val="FootnoteText"/>
        <w:rPr>
          <w:rFonts w:asciiTheme="minorHAnsi" w:hAnsiTheme="minorHAnsi" w:cstheme="minorHAnsi"/>
          <w:lang w:val="en-US"/>
        </w:rPr>
      </w:pPr>
      <w:r w:rsidRPr="00A92D3F">
        <w:rPr>
          <w:rStyle w:val="FootnoteReference"/>
          <w:rFonts w:asciiTheme="minorHAnsi" w:hAnsiTheme="minorHAnsi" w:cstheme="minorHAnsi"/>
        </w:rPr>
        <w:footnoteRef/>
      </w:r>
      <w:r w:rsidRPr="00A92D3F">
        <w:rPr>
          <w:rFonts w:asciiTheme="minorHAnsi" w:hAnsiTheme="minorHAnsi" w:cstheme="minorHAnsi"/>
        </w:rPr>
        <w:t xml:space="preserve"> </w:t>
      </w:r>
      <w:r w:rsidRPr="00A92D3F">
        <w:rPr>
          <w:rFonts w:asciiTheme="minorHAnsi" w:hAnsiTheme="minorHAnsi" w:cstheme="minorHAnsi"/>
          <w:lang w:val="en-US"/>
        </w:rPr>
        <w:t>The costs associated with testing will be borne by the state departments for ovine and bovine samples.</w:t>
      </w:r>
    </w:p>
  </w:footnote>
  <w:footnote w:id="2">
    <w:p w14:paraId="0FB7FE9B" w14:textId="77777777" w:rsidR="006B5F2A" w:rsidRPr="00A92D3F" w:rsidRDefault="006B5F2A" w:rsidP="006B5F2A">
      <w:pPr>
        <w:pStyle w:val="FootnoteText"/>
        <w:rPr>
          <w:rFonts w:ascii="Calibri" w:hAnsi="Calibri" w:cs="Calibri"/>
        </w:rPr>
      </w:pPr>
      <w:r w:rsidRPr="00A92D3F">
        <w:rPr>
          <w:rStyle w:val="FootnoteReference"/>
          <w:rFonts w:ascii="Calibri" w:hAnsi="Calibri" w:cs="Calibri"/>
        </w:rPr>
        <w:footnoteRef/>
      </w:r>
      <w:r w:rsidRPr="00A92D3F">
        <w:rPr>
          <w:rFonts w:ascii="Calibri" w:hAnsi="Calibri" w:cs="Calibri"/>
        </w:rPr>
        <w:t xml:space="preserve"> CCEAD is a coordinating body providing the technical link between the Commonwealth, states, territories and industry for decision making during animal health emergencies.</w:t>
      </w:r>
    </w:p>
  </w:footnote>
  <w:footnote w:id="3">
    <w:p w14:paraId="20AF4818" w14:textId="77777777" w:rsidR="006B5F2A" w:rsidRPr="00E4420B" w:rsidRDefault="006B5F2A" w:rsidP="006B5F2A">
      <w:pPr>
        <w:pStyle w:val="FootnoteText"/>
        <w:rPr>
          <w:rFonts w:ascii="Calibri" w:hAnsi="Calibri" w:cs="Calibri"/>
        </w:rPr>
      </w:pPr>
      <w:r w:rsidRPr="00E4420B">
        <w:rPr>
          <w:rStyle w:val="FootnoteReference"/>
          <w:rFonts w:ascii="Calibri" w:hAnsi="Calibri" w:cs="Calibri"/>
        </w:rPr>
        <w:footnoteRef/>
      </w:r>
      <w:r w:rsidRPr="00E4420B">
        <w:rPr>
          <w:rFonts w:ascii="Calibri" w:hAnsi="Calibri" w:cs="Calibri"/>
        </w:rPr>
        <w:t xml:space="preserve"> IATA Infectious Substances and Diagnostic Specimens Shipping Guidelines 2003. 3.3.7 Other dangerous goods (Page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7BDF0" w14:textId="77777777" w:rsidR="00875847" w:rsidRDefault="00875847">
    <w:pPr>
      <w:pStyle w:val="Header"/>
    </w:pPr>
  </w:p>
  <w:p w14:paraId="2E5E7515" w14:textId="77777777" w:rsidR="00DF65D9" w:rsidRDefault="00DF65D9"/>
  <w:p w14:paraId="78BE78BF" w14:textId="77777777" w:rsidR="00DF65D9" w:rsidRDefault="00DF65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3686F" w14:textId="77777777" w:rsidR="00DF65D9" w:rsidRDefault="00875847" w:rsidP="00A94EE1">
    <w:pPr>
      <w:pStyle w:val="Header"/>
    </w:pPr>
    <w:r>
      <w:rPr>
        <w:noProof/>
        <w:lang w:eastAsia="en-AU"/>
      </w:rPr>
      <w:drawing>
        <wp:anchor distT="0" distB="0" distL="114300" distR="114300" simplePos="0" relativeHeight="251658240" behindDoc="1" locked="1" layoutInCell="1" allowOverlap="1" wp14:anchorId="1E5F1CEE" wp14:editId="41E59FAB">
          <wp:simplePos x="0" y="0"/>
          <wp:positionH relativeFrom="page">
            <wp:posOffset>5080</wp:posOffset>
          </wp:positionH>
          <wp:positionV relativeFrom="page">
            <wp:posOffset>0</wp:posOffset>
          </wp:positionV>
          <wp:extent cx="7548245" cy="11950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HA03952_Doc-Template-Header_151008.png"/>
                  <pic:cNvPicPr/>
                </pic:nvPicPr>
                <pic:blipFill>
                  <a:blip r:embed="rId1">
                    <a:extLst>
                      <a:ext uri="{28A0092B-C50C-407E-A947-70E740481C1C}">
                        <a14:useLocalDpi xmlns:a14="http://schemas.microsoft.com/office/drawing/2010/main" val="0"/>
                      </a:ext>
                    </a:extLst>
                  </a:blip>
                  <a:stretch>
                    <a:fillRect/>
                  </a:stretch>
                </pic:blipFill>
                <pic:spPr>
                  <a:xfrm>
                    <a:off x="0" y="0"/>
                    <a:ext cx="7548245" cy="11950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2A35B" w14:textId="77777777" w:rsidR="00875847" w:rsidRDefault="008758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733B0"/>
    <w:multiLevelType w:val="hybridMultilevel"/>
    <w:tmpl w:val="4C3E4DCA"/>
    <w:lvl w:ilvl="0" w:tplc="630653CC">
      <w:start w:val="1"/>
      <w:numFmt w:val="bullet"/>
      <w:pStyle w:val="Bullets2"/>
      <w:lvlText w:val="◦"/>
      <w:lvlJc w:val="left"/>
      <w:pPr>
        <w:ind w:left="1344" w:hanging="360"/>
      </w:pPr>
      <w:rPr>
        <w:rFonts w:ascii="Verdana" w:hAnsi="Verdana" w:hint="default"/>
        <w:color w:val="46515B"/>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1" w15:restartNumberingAfterBreak="0">
    <w:nsid w:val="15B160BD"/>
    <w:multiLevelType w:val="hybridMultilevel"/>
    <w:tmpl w:val="CC94068E"/>
    <w:lvl w:ilvl="0" w:tplc="F49CA918">
      <w:start w:val="1"/>
      <w:numFmt w:val="decimal"/>
      <w:lvlText w:val="%1."/>
      <w:lvlJc w:val="left"/>
      <w:pPr>
        <w:ind w:left="720" w:hanging="360"/>
      </w:pPr>
      <w:rPr>
        <w:b w:val="0"/>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B32BB4"/>
    <w:multiLevelType w:val="hybridMultilevel"/>
    <w:tmpl w:val="B0066D0C"/>
    <w:lvl w:ilvl="0" w:tplc="B2063734">
      <w:start w:val="1"/>
      <w:numFmt w:val="decimal"/>
      <w:pStyle w:val="NumberedBulle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423620F"/>
    <w:multiLevelType w:val="hybridMultilevel"/>
    <w:tmpl w:val="3230E7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5" w15:restartNumberingAfterBreak="0">
    <w:nsid w:val="464D3B54"/>
    <w:multiLevelType w:val="hybridMultilevel"/>
    <w:tmpl w:val="85E407F6"/>
    <w:lvl w:ilvl="0" w:tplc="4D38AEFC">
      <w:start w:val="1"/>
      <w:numFmt w:val="decimal"/>
      <w:pStyle w:val="NumberedList"/>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E455FDF"/>
    <w:multiLevelType w:val="multilevel"/>
    <w:tmpl w:val="5CD4C9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4E7D4D"/>
    <w:multiLevelType w:val="hybridMultilevel"/>
    <w:tmpl w:val="1E06243E"/>
    <w:lvl w:ilvl="0" w:tplc="C1323906">
      <w:start w:val="1"/>
      <w:numFmt w:val="bullet"/>
      <w:pStyle w:val="Bullets"/>
      <w:lvlText w:val=""/>
      <w:lvlJc w:val="left"/>
      <w:pPr>
        <w:ind w:left="720" w:hanging="360"/>
      </w:pPr>
      <w:rPr>
        <w:rFonts w:ascii="Symbol" w:hAnsi="Symbol" w:hint="default"/>
        <w:b w:val="0"/>
        <w:i w:val="0"/>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FD7E10"/>
    <w:multiLevelType w:val="multilevel"/>
    <w:tmpl w:val="077ED7C4"/>
    <w:lvl w:ilvl="0">
      <w:start w:val="1"/>
      <w:numFmt w:val="bullet"/>
      <w:pStyle w:val="qtbdash2"/>
      <w:lvlText w:val=""/>
      <w:lvlJc w:val="left"/>
      <w:pPr>
        <w:tabs>
          <w:tab w:val="num" w:pos="1271"/>
        </w:tabs>
        <w:ind w:left="1251" w:hanging="340"/>
      </w:pPr>
      <w:rPr>
        <w:rFonts w:ascii="Wingdings" w:hAnsi="Wingdings" w:hint="default"/>
      </w:rPr>
    </w:lvl>
    <w:lvl w:ilvl="1">
      <w:start w:val="1"/>
      <w:numFmt w:val="decimal"/>
      <w:lvlText w:val="%2."/>
      <w:lvlJc w:val="left"/>
      <w:pPr>
        <w:tabs>
          <w:tab w:val="num" w:pos="1500"/>
        </w:tabs>
        <w:ind w:left="1500" w:hanging="360"/>
      </w:p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5E617E6A"/>
    <w:multiLevelType w:val="multilevel"/>
    <w:tmpl w:val="0C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612636BB"/>
    <w:multiLevelType w:val="hybridMultilevel"/>
    <w:tmpl w:val="43821F1E"/>
    <w:lvl w:ilvl="0" w:tplc="2E54B56C">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FF722EF"/>
    <w:multiLevelType w:val="multilevel"/>
    <w:tmpl w:val="C932086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5F19D5"/>
    <w:multiLevelType w:val="multilevel"/>
    <w:tmpl w:val="745A0C7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D36CEF"/>
    <w:multiLevelType w:val="multilevel"/>
    <w:tmpl w:val="D8421E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2"/>
  </w:num>
  <w:num w:numId="6">
    <w:abstractNumId w:val="8"/>
  </w:num>
  <w:num w:numId="7">
    <w:abstractNumId w:val="12"/>
  </w:num>
  <w:num w:numId="8">
    <w:abstractNumId w:val="13"/>
  </w:num>
  <w:num w:numId="9">
    <w:abstractNumId w:val="11"/>
  </w:num>
  <w:num w:numId="10">
    <w:abstractNumId w:val="6"/>
  </w:num>
  <w:num w:numId="11">
    <w:abstractNumId w:val="9"/>
  </w:num>
  <w:num w:numId="12">
    <w:abstractNumId w:val="3"/>
  </w:num>
  <w:num w:numId="13">
    <w:abstractNumId w:val="1"/>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efaultTableStyle w:val="AHAwithTotal"/>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CE9"/>
    <w:rsid w:val="000016DA"/>
    <w:rsid w:val="00010004"/>
    <w:rsid w:val="000131B4"/>
    <w:rsid w:val="00017A10"/>
    <w:rsid w:val="00027C52"/>
    <w:rsid w:val="00027FE2"/>
    <w:rsid w:val="00034F30"/>
    <w:rsid w:val="00036BBD"/>
    <w:rsid w:val="00040650"/>
    <w:rsid w:val="0004145E"/>
    <w:rsid w:val="00046FC0"/>
    <w:rsid w:val="00053AA6"/>
    <w:rsid w:val="000921D3"/>
    <w:rsid w:val="00094260"/>
    <w:rsid w:val="00096896"/>
    <w:rsid w:val="000A1BF5"/>
    <w:rsid w:val="000B0130"/>
    <w:rsid w:val="000B7207"/>
    <w:rsid w:val="000C5543"/>
    <w:rsid w:val="000E17FD"/>
    <w:rsid w:val="000F7951"/>
    <w:rsid w:val="001019DD"/>
    <w:rsid w:val="00105070"/>
    <w:rsid w:val="00105CE9"/>
    <w:rsid w:val="00115C1F"/>
    <w:rsid w:val="0011759C"/>
    <w:rsid w:val="00122F4E"/>
    <w:rsid w:val="0012583F"/>
    <w:rsid w:val="001350D9"/>
    <w:rsid w:val="00135AD6"/>
    <w:rsid w:val="00141E8F"/>
    <w:rsid w:val="00142526"/>
    <w:rsid w:val="0014252E"/>
    <w:rsid w:val="0015060F"/>
    <w:rsid w:val="00153B50"/>
    <w:rsid w:val="00157EC1"/>
    <w:rsid w:val="00162842"/>
    <w:rsid w:val="00162D57"/>
    <w:rsid w:val="00163353"/>
    <w:rsid w:val="00165454"/>
    <w:rsid w:val="00165543"/>
    <w:rsid w:val="00175902"/>
    <w:rsid w:val="0018003A"/>
    <w:rsid w:val="0018677F"/>
    <w:rsid w:val="00192806"/>
    <w:rsid w:val="00192A2D"/>
    <w:rsid w:val="00195F6D"/>
    <w:rsid w:val="001A3D92"/>
    <w:rsid w:val="001A4409"/>
    <w:rsid w:val="001B31A2"/>
    <w:rsid w:val="001B3772"/>
    <w:rsid w:val="001B4F54"/>
    <w:rsid w:val="001D14A3"/>
    <w:rsid w:val="001D15B7"/>
    <w:rsid w:val="001F6141"/>
    <w:rsid w:val="00206969"/>
    <w:rsid w:val="00210BEE"/>
    <w:rsid w:val="002201B1"/>
    <w:rsid w:val="00221326"/>
    <w:rsid w:val="00223D3C"/>
    <w:rsid w:val="00227C15"/>
    <w:rsid w:val="00241FF9"/>
    <w:rsid w:val="00243B5A"/>
    <w:rsid w:val="00245DCA"/>
    <w:rsid w:val="00255952"/>
    <w:rsid w:val="00261FF6"/>
    <w:rsid w:val="00270AD9"/>
    <w:rsid w:val="0027486C"/>
    <w:rsid w:val="00274A28"/>
    <w:rsid w:val="00275DD5"/>
    <w:rsid w:val="0028169E"/>
    <w:rsid w:val="002830C7"/>
    <w:rsid w:val="002841E9"/>
    <w:rsid w:val="002918D5"/>
    <w:rsid w:val="00293E2F"/>
    <w:rsid w:val="002A7D67"/>
    <w:rsid w:val="002B1B45"/>
    <w:rsid w:val="002B6238"/>
    <w:rsid w:val="002C5852"/>
    <w:rsid w:val="002D0DF0"/>
    <w:rsid w:val="002D6432"/>
    <w:rsid w:val="002E064C"/>
    <w:rsid w:val="002E40C6"/>
    <w:rsid w:val="00300709"/>
    <w:rsid w:val="00303633"/>
    <w:rsid w:val="00304E5D"/>
    <w:rsid w:val="00313A6E"/>
    <w:rsid w:val="003200CE"/>
    <w:rsid w:val="00323F15"/>
    <w:rsid w:val="00332145"/>
    <w:rsid w:val="00334B50"/>
    <w:rsid w:val="00343899"/>
    <w:rsid w:val="0034720C"/>
    <w:rsid w:val="00355601"/>
    <w:rsid w:val="003574E7"/>
    <w:rsid w:val="00372C77"/>
    <w:rsid w:val="003753FE"/>
    <w:rsid w:val="00381879"/>
    <w:rsid w:val="00385463"/>
    <w:rsid w:val="00387FF8"/>
    <w:rsid w:val="003A0F8E"/>
    <w:rsid w:val="003A5143"/>
    <w:rsid w:val="003C4F10"/>
    <w:rsid w:val="003D1B1F"/>
    <w:rsid w:val="003F6395"/>
    <w:rsid w:val="004011B5"/>
    <w:rsid w:val="00411EAA"/>
    <w:rsid w:val="00414D7C"/>
    <w:rsid w:val="00423870"/>
    <w:rsid w:val="004276FF"/>
    <w:rsid w:val="00444AC0"/>
    <w:rsid w:val="00447067"/>
    <w:rsid w:val="00451E03"/>
    <w:rsid w:val="00464BA0"/>
    <w:rsid w:val="00474686"/>
    <w:rsid w:val="00474C8B"/>
    <w:rsid w:val="00480364"/>
    <w:rsid w:val="004808A3"/>
    <w:rsid w:val="00487A86"/>
    <w:rsid w:val="00490FD4"/>
    <w:rsid w:val="0049113C"/>
    <w:rsid w:val="00491CC7"/>
    <w:rsid w:val="0049434B"/>
    <w:rsid w:val="00495A5E"/>
    <w:rsid w:val="0049701B"/>
    <w:rsid w:val="004A5DD2"/>
    <w:rsid w:val="004A671D"/>
    <w:rsid w:val="004B0281"/>
    <w:rsid w:val="004B2C6D"/>
    <w:rsid w:val="004B7AE4"/>
    <w:rsid w:val="004D1667"/>
    <w:rsid w:val="004E4CEA"/>
    <w:rsid w:val="004F4AB7"/>
    <w:rsid w:val="004F67BB"/>
    <w:rsid w:val="00511208"/>
    <w:rsid w:val="00511225"/>
    <w:rsid w:val="005165EE"/>
    <w:rsid w:val="00524BDA"/>
    <w:rsid w:val="00527562"/>
    <w:rsid w:val="005307DA"/>
    <w:rsid w:val="00533117"/>
    <w:rsid w:val="00534693"/>
    <w:rsid w:val="005404B6"/>
    <w:rsid w:val="005423ED"/>
    <w:rsid w:val="0054533C"/>
    <w:rsid w:val="005458D1"/>
    <w:rsid w:val="00554E0E"/>
    <w:rsid w:val="00557EAB"/>
    <w:rsid w:val="00570C23"/>
    <w:rsid w:val="00571E63"/>
    <w:rsid w:val="0057687A"/>
    <w:rsid w:val="00583949"/>
    <w:rsid w:val="00590908"/>
    <w:rsid w:val="005936CB"/>
    <w:rsid w:val="005941C7"/>
    <w:rsid w:val="0059443E"/>
    <w:rsid w:val="005953C7"/>
    <w:rsid w:val="005C102B"/>
    <w:rsid w:val="005D1545"/>
    <w:rsid w:val="005D1B0C"/>
    <w:rsid w:val="005D4680"/>
    <w:rsid w:val="005D5E23"/>
    <w:rsid w:val="005E1D3E"/>
    <w:rsid w:val="005E46EF"/>
    <w:rsid w:val="005F0346"/>
    <w:rsid w:val="005F593C"/>
    <w:rsid w:val="005F713B"/>
    <w:rsid w:val="0060570B"/>
    <w:rsid w:val="006106F9"/>
    <w:rsid w:val="00627441"/>
    <w:rsid w:val="00627938"/>
    <w:rsid w:val="006409AE"/>
    <w:rsid w:val="00642709"/>
    <w:rsid w:val="00647A84"/>
    <w:rsid w:val="00652775"/>
    <w:rsid w:val="006553AF"/>
    <w:rsid w:val="0065577B"/>
    <w:rsid w:val="00661D32"/>
    <w:rsid w:val="0066303D"/>
    <w:rsid w:val="006630F5"/>
    <w:rsid w:val="00666216"/>
    <w:rsid w:val="0067304A"/>
    <w:rsid w:val="0067524A"/>
    <w:rsid w:val="00685156"/>
    <w:rsid w:val="00687134"/>
    <w:rsid w:val="006A2C64"/>
    <w:rsid w:val="006B3D63"/>
    <w:rsid w:val="006B5F2A"/>
    <w:rsid w:val="006C38EC"/>
    <w:rsid w:val="006C6C34"/>
    <w:rsid w:val="006D07F1"/>
    <w:rsid w:val="006D4994"/>
    <w:rsid w:val="006E0D84"/>
    <w:rsid w:val="006E2F63"/>
    <w:rsid w:val="006F0E4B"/>
    <w:rsid w:val="006F35C9"/>
    <w:rsid w:val="006F674D"/>
    <w:rsid w:val="006F7D60"/>
    <w:rsid w:val="00712F40"/>
    <w:rsid w:val="00720DFA"/>
    <w:rsid w:val="00726898"/>
    <w:rsid w:val="00733DF3"/>
    <w:rsid w:val="00741891"/>
    <w:rsid w:val="00743CB8"/>
    <w:rsid w:val="00744FBF"/>
    <w:rsid w:val="00751335"/>
    <w:rsid w:val="00763D56"/>
    <w:rsid w:val="00782CED"/>
    <w:rsid w:val="00795040"/>
    <w:rsid w:val="0079566A"/>
    <w:rsid w:val="00796ADC"/>
    <w:rsid w:val="007A23E8"/>
    <w:rsid w:val="007B0023"/>
    <w:rsid w:val="007C108B"/>
    <w:rsid w:val="007C13E2"/>
    <w:rsid w:val="007C170A"/>
    <w:rsid w:val="007C2E09"/>
    <w:rsid w:val="007C3C43"/>
    <w:rsid w:val="007D5187"/>
    <w:rsid w:val="007E10F6"/>
    <w:rsid w:val="007E117F"/>
    <w:rsid w:val="007E5E3A"/>
    <w:rsid w:val="0080006C"/>
    <w:rsid w:val="008018D2"/>
    <w:rsid w:val="00807716"/>
    <w:rsid w:val="00820BF5"/>
    <w:rsid w:val="0082382D"/>
    <w:rsid w:val="008241F7"/>
    <w:rsid w:val="00842A87"/>
    <w:rsid w:val="00846B51"/>
    <w:rsid w:val="00854CB8"/>
    <w:rsid w:val="008669F1"/>
    <w:rsid w:val="00875847"/>
    <w:rsid w:val="00877E67"/>
    <w:rsid w:val="0089245A"/>
    <w:rsid w:val="008927F9"/>
    <w:rsid w:val="00894BEA"/>
    <w:rsid w:val="008A44EB"/>
    <w:rsid w:val="008C04A2"/>
    <w:rsid w:val="008C23D0"/>
    <w:rsid w:val="008C5909"/>
    <w:rsid w:val="008D10E3"/>
    <w:rsid w:val="008E3AB1"/>
    <w:rsid w:val="008F00E9"/>
    <w:rsid w:val="00906849"/>
    <w:rsid w:val="00913D88"/>
    <w:rsid w:val="00935DB8"/>
    <w:rsid w:val="0095103C"/>
    <w:rsid w:val="009568D0"/>
    <w:rsid w:val="00957B4B"/>
    <w:rsid w:val="0096240D"/>
    <w:rsid w:val="00971C36"/>
    <w:rsid w:val="00974C53"/>
    <w:rsid w:val="00977CE3"/>
    <w:rsid w:val="00980959"/>
    <w:rsid w:val="009857F0"/>
    <w:rsid w:val="009870A9"/>
    <w:rsid w:val="00987DCA"/>
    <w:rsid w:val="009967B3"/>
    <w:rsid w:val="00996CBD"/>
    <w:rsid w:val="009C5140"/>
    <w:rsid w:val="009C610E"/>
    <w:rsid w:val="009C6AE4"/>
    <w:rsid w:val="009D4F98"/>
    <w:rsid w:val="009D5DFB"/>
    <w:rsid w:val="009E0863"/>
    <w:rsid w:val="00A20EF5"/>
    <w:rsid w:val="00A21B98"/>
    <w:rsid w:val="00A22175"/>
    <w:rsid w:val="00A2700C"/>
    <w:rsid w:val="00A3015B"/>
    <w:rsid w:val="00A36234"/>
    <w:rsid w:val="00A51D5D"/>
    <w:rsid w:val="00A572FE"/>
    <w:rsid w:val="00A577B5"/>
    <w:rsid w:val="00A60316"/>
    <w:rsid w:val="00A62BDD"/>
    <w:rsid w:val="00A702CC"/>
    <w:rsid w:val="00A70B78"/>
    <w:rsid w:val="00A82380"/>
    <w:rsid w:val="00A91980"/>
    <w:rsid w:val="00A92D3F"/>
    <w:rsid w:val="00A93712"/>
    <w:rsid w:val="00A937B6"/>
    <w:rsid w:val="00A94EE1"/>
    <w:rsid w:val="00A95B06"/>
    <w:rsid w:val="00A96D7F"/>
    <w:rsid w:val="00AA39CE"/>
    <w:rsid w:val="00AD0F56"/>
    <w:rsid w:val="00AD549B"/>
    <w:rsid w:val="00AD6233"/>
    <w:rsid w:val="00AE2944"/>
    <w:rsid w:val="00AF44DD"/>
    <w:rsid w:val="00AF778B"/>
    <w:rsid w:val="00B008F7"/>
    <w:rsid w:val="00B02AA8"/>
    <w:rsid w:val="00B05C74"/>
    <w:rsid w:val="00B10818"/>
    <w:rsid w:val="00B15653"/>
    <w:rsid w:val="00B22528"/>
    <w:rsid w:val="00B23003"/>
    <w:rsid w:val="00B23B65"/>
    <w:rsid w:val="00B3041A"/>
    <w:rsid w:val="00B40049"/>
    <w:rsid w:val="00B40A55"/>
    <w:rsid w:val="00B448E2"/>
    <w:rsid w:val="00B61195"/>
    <w:rsid w:val="00B62482"/>
    <w:rsid w:val="00B65DDB"/>
    <w:rsid w:val="00B77C59"/>
    <w:rsid w:val="00B77F8B"/>
    <w:rsid w:val="00B805E5"/>
    <w:rsid w:val="00B84349"/>
    <w:rsid w:val="00B866E6"/>
    <w:rsid w:val="00B87637"/>
    <w:rsid w:val="00BA0A48"/>
    <w:rsid w:val="00BA6F1D"/>
    <w:rsid w:val="00BB121A"/>
    <w:rsid w:val="00BB7AF6"/>
    <w:rsid w:val="00BC7D07"/>
    <w:rsid w:val="00BD47BA"/>
    <w:rsid w:val="00BD64B9"/>
    <w:rsid w:val="00BF1E17"/>
    <w:rsid w:val="00BF5B4E"/>
    <w:rsid w:val="00C05EBF"/>
    <w:rsid w:val="00C0600F"/>
    <w:rsid w:val="00C24F61"/>
    <w:rsid w:val="00C359D1"/>
    <w:rsid w:val="00C52027"/>
    <w:rsid w:val="00C533EB"/>
    <w:rsid w:val="00C5411E"/>
    <w:rsid w:val="00C72C06"/>
    <w:rsid w:val="00C75003"/>
    <w:rsid w:val="00C75432"/>
    <w:rsid w:val="00C82248"/>
    <w:rsid w:val="00C86C3F"/>
    <w:rsid w:val="00C86D37"/>
    <w:rsid w:val="00C932E4"/>
    <w:rsid w:val="00C939CF"/>
    <w:rsid w:val="00CA06F5"/>
    <w:rsid w:val="00CB0132"/>
    <w:rsid w:val="00CC5AB3"/>
    <w:rsid w:val="00CC68DE"/>
    <w:rsid w:val="00CC7CBA"/>
    <w:rsid w:val="00CD22BD"/>
    <w:rsid w:val="00CE1BFD"/>
    <w:rsid w:val="00D00558"/>
    <w:rsid w:val="00D01192"/>
    <w:rsid w:val="00D03065"/>
    <w:rsid w:val="00D130E8"/>
    <w:rsid w:val="00D15044"/>
    <w:rsid w:val="00D163FB"/>
    <w:rsid w:val="00D2162D"/>
    <w:rsid w:val="00D2429E"/>
    <w:rsid w:val="00D25907"/>
    <w:rsid w:val="00D3700D"/>
    <w:rsid w:val="00D519E2"/>
    <w:rsid w:val="00D62AE3"/>
    <w:rsid w:val="00D645A7"/>
    <w:rsid w:val="00D647E5"/>
    <w:rsid w:val="00D6648D"/>
    <w:rsid w:val="00D71925"/>
    <w:rsid w:val="00D74376"/>
    <w:rsid w:val="00D77803"/>
    <w:rsid w:val="00D83117"/>
    <w:rsid w:val="00D9108C"/>
    <w:rsid w:val="00D933B5"/>
    <w:rsid w:val="00DA08E9"/>
    <w:rsid w:val="00DA7FCD"/>
    <w:rsid w:val="00DB0048"/>
    <w:rsid w:val="00DB3685"/>
    <w:rsid w:val="00DB79B8"/>
    <w:rsid w:val="00DC1003"/>
    <w:rsid w:val="00DC11BD"/>
    <w:rsid w:val="00DC36CD"/>
    <w:rsid w:val="00DF298B"/>
    <w:rsid w:val="00DF65D9"/>
    <w:rsid w:val="00E00378"/>
    <w:rsid w:val="00E00DC2"/>
    <w:rsid w:val="00E146C1"/>
    <w:rsid w:val="00E15282"/>
    <w:rsid w:val="00E1577F"/>
    <w:rsid w:val="00E26126"/>
    <w:rsid w:val="00E367A9"/>
    <w:rsid w:val="00E43764"/>
    <w:rsid w:val="00E4420B"/>
    <w:rsid w:val="00E47D45"/>
    <w:rsid w:val="00E507C9"/>
    <w:rsid w:val="00E677F2"/>
    <w:rsid w:val="00E80821"/>
    <w:rsid w:val="00E81230"/>
    <w:rsid w:val="00E872E0"/>
    <w:rsid w:val="00EB0B7F"/>
    <w:rsid w:val="00EB1820"/>
    <w:rsid w:val="00ED5EEE"/>
    <w:rsid w:val="00F00317"/>
    <w:rsid w:val="00F15197"/>
    <w:rsid w:val="00F2488E"/>
    <w:rsid w:val="00F4060D"/>
    <w:rsid w:val="00F5498A"/>
    <w:rsid w:val="00F5773D"/>
    <w:rsid w:val="00F66468"/>
    <w:rsid w:val="00F751AD"/>
    <w:rsid w:val="00F76E7F"/>
    <w:rsid w:val="00F92862"/>
    <w:rsid w:val="00F93BCB"/>
    <w:rsid w:val="00F93BF5"/>
    <w:rsid w:val="00F975FC"/>
    <w:rsid w:val="00FB21BA"/>
    <w:rsid w:val="00FB2C00"/>
    <w:rsid w:val="00FB4AD2"/>
    <w:rsid w:val="00FB4F0C"/>
    <w:rsid w:val="00FC2959"/>
    <w:rsid w:val="00FD05E0"/>
    <w:rsid w:val="00FD1717"/>
    <w:rsid w:val="00FE1729"/>
    <w:rsid w:val="00FE3943"/>
    <w:rsid w:val="00FE49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2529"/>
    <o:shapelayout v:ext="edit">
      <o:idmap v:ext="edit" data="1"/>
    </o:shapelayout>
  </w:shapeDefaults>
  <w:decimalSymbol w:val="."/>
  <w:listSeparator w:val=","/>
  <w14:docId w14:val="6F495834"/>
  <w15:docId w15:val="{A0D99603-E3A3-46AF-9C62-B8DB252C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AE"/>
    <w:pPr>
      <w:spacing w:after="240"/>
    </w:pPr>
    <w:rPr>
      <w:sz w:val="24"/>
      <w:szCs w:val="24"/>
      <w:lang w:eastAsia="en-US"/>
    </w:rPr>
  </w:style>
  <w:style w:type="paragraph" w:styleId="Heading1">
    <w:name w:val="heading 1"/>
    <w:basedOn w:val="Normal"/>
    <w:next w:val="Normal"/>
    <w:link w:val="Heading1Char"/>
    <w:qFormat/>
    <w:rsid w:val="00906849"/>
    <w:pPr>
      <w:keepNext/>
      <w:keepLines/>
      <w:pBdr>
        <w:bottom w:val="single" w:sz="12" w:space="1" w:color="46515B"/>
      </w:pBdr>
      <w:tabs>
        <w:tab w:val="left" w:pos="567"/>
      </w:tabs>
      <w:spacing w:before="600" w:after="100" w:afterAutospacing="1" w:line="360" w:lineRule="auto"/>
      <w:outlineLvl w:val="0"/>
    </w:pPr>
    <w:rPr>
      <w:rFonts w:asciiTheme="minorHAnsi" w:hAnsiTheme="minorHAnsi"/>
      <w:b/>
      <w:bCs/>
      <w:caps/>
      <w:color w:val="46515B"/>
      <w:sz w:val="40"/>
      <w:szCs w:val="28"/>
      <w:u w:color="46515B"/>
    </w:rPr>
  </w:style>
  <w:style w:type="paragraph" w:styleId="Heading2">
    <w:name w:val="heading 2"/>
    <w:basedOn w:val="Normal"/>
    <w:next w:val="Normal"/>
    <w:link w:val="Heading2Char"/>
    <w:qFormat/>
    <w:rsid w:val="00906849"/>
    <w:pPr>
      <w:keepNext/>
      <w:tabs>
        <w:tab w:val="left" w:pos="567"/>
      </w:tabs>
      <w:spacing w:before="360"/>
      <w:outlineLvl w:val="1"/>
    </w:pPr>
    <w:rPr>
      <w:rFonts w:asciiTheme="minorHAnsi" w:hAnsiTheme="minorHAnsi" w:cs="Arial"/>
      <w:b/>
      <w:bCs/>
      <w:caps/>
      <w:color w:val="46515B"/>
      <w:sz w:val="28"/>
    </w:rPr>
  </w:style>
  <w:style w:type="paragraph" w:styleId="Heading3">
    <w:name w:val="heading 3"/>
    <w:next w:val="Normal"/>
    <w:link w:val="Heading3Char"/>
    <w:qFormat/>
    <w:rsid w:val="00977CE3"/>
    <w:pPr>
      <w:tabs>
        <w:tab w:val="left" w:pos="567"/>
      </w:tabs>
      <w:spacing w:before="360"/>
      <w:outlineLvl w:val="2"/>
    </w:pPr>
    <w:rPr>
      <w:rFonts w:asciiTheme="minorHAnsi" w:hAnsiTheme="minorHAnsi" w:cs="Arial"/>
      <w:b/>
      <w:color w:val="00B6B1"/>
      <w:sz w:val="24"/>
      <w:szCs w:val="26"/>
      <w:lang w:eastAsia="en-US"/>
    </w:rPr>
  </w:style>
  <w:style w:type="paragraph" w:styleId="Heading4">
    <w:name w:val="heading 4"/>
    <w:basedOn w:val="Normal"/>
    <w:next w:val="Normal"/>
    <w:link w:val="Heading4Char"/>
    <w:qFormat/>
    <w:rsid w:val="006409AE"/>
    <w:pPr>
      <w:keepNext/>
      <w:spacing w:before="240" w:after="60"/>
      <w:outlineLvl w:val="3"/>
    </w:pPr>
    <w:rPr>
      <w:i/>
      <w:iCs/>
      <w:szCs w:val="28"/>
    </w:rPr>
  </w:style>
  <w:style w:type="paragraph" w:styleId="Heading5">
    <w:name w:val="heading 5"/>
    <w:basedOn w:val="Normal"/>
    <w:next w:val="Normal"/>
    <w:link w:val="Heading5Char"/>
    <w:qFormat/>
    <w:rsid w:val="006409AE"/>
    <w:pPr>
      <w:keepNext/>
      <w:spacing w:before="240" w:after="60"/>
      <w:outlineLvl w:val="4"/>
    </w:pPr>
    <w:rPr>
      <w:rFonts w:cs="Arial"/>
      <w:bCs/>
      <w:u w:val="single"/>
    </w:rPr>
  </w:style>
  <w:style w:type="paragraph" w:styleId="Heading6">
    <w:name w:val="heading 6"/>
    <w:basedOn w:val="Normal"/>
    <w:next w:val="Normal"/>
    <w:link w:val="Heading6Char"/>
    <w:qFormat/>
    <w:locked/>
    <w:rsid w:val="00533117"/>
    <w:pPr>
      <w:keepLines/>
      <w:tabs>
        <w:tab w:val="num" w:pos="0"/>
      </w:tabs>
      <w:spacing w:before="240" w:beforeAutospacing="1" w:after="60" w:afterAutospacing="1"/>
      <w:outlineLvl w:val="5"/>
    </w:pPr>
    <w:rPr>
      <w:rFonts w:ascii="Arial" w:hAnsi="Arial"/>
      <w:b/>
      <w:bCs/>
      <w:sz w:val="22"/>
      <w:szCs w:val="22"/>
      <w:lang w:eastAsia="en-AU"/>
    </w:rPr>
  </w:style>
  <w:style w:type="paragraph" w:styleId="Heading7">
    <w:name w:val="heading 7"/>
    <w:basedOn w:val="Heading1"/>
    <w:next w:val="Normal"/>
    <w:link w:val="Heading7Char"/>
    <w:qFormat/>
    <w:locked/>
    <w:rsid w:val="00533117"/>
    <w:pPr>
      <w:keepLines w:val="0"/>
      <w:pBdr>
        <w:bottom w:val="none" w:sz="0" w:space="0" w:color="auto"/>
      </w:pBdr>
      <w:tabs>
        <w:tab w:val="clear" w:pos="567"/>
      </w:tabs>
      <w:spacing w:before="240" w:after="0" w:afterAutospacing="0" w:line="240" w:lineRule="auto"/>
      <w:outlineLvl w:val="6"/>
    </w:pPr>
    <w:rPr>
      <w:rFonts w:ascii="Arial" w:hAnsi="Arial" w:cs="Arial"/>
      <w:caps w:val="0"/>
      <w:color w:val="auto"/>
      <w:kern w:val="32"/>
      <w:sz w:val="36"/>
      <w:szCs w:val="32"/>
      <w:lang w:eastAsia="en-AU"/>
    </w:rPr>
  </w:style>
  <w:style w:type="paragraph" w:styleId="Heading8">
    <w:name w:val="heading 8"/>
    <w:basedOn w:val="Heading2"/>
    <w:next w:val="Normal"/>
    <w:link w:val="Heading8Char"/>
    <w:qFormat/>
    <w:locked/>
    <w:rsid w:val="00533117"/>
    <w:pPr>
      <w:tabs>
        <w:tab w:val="clear" w:pos="567"/>
      </w:tabs>
      <w:spacing w:before="240" w:after="0"/>
      <w:ind w:left="851" w:hanging="851"/>
      <w:outlineLvl w:val="7"/>
    </w:pPr>
    <w:rPr>
      <w:rFonts w:ascii="Arial" w:hAnsi="Arial"/>
      <w:bCs w:val="0"/>
      <w:caps w:val="0"/>
      <w:color w:val="auto"/>
      <w:kern w:val="32"/>
      <w:szCs w:val="28"/>
      <w:lang w:eastAsia="en-AU"/>
    </w:rPr>
  </w:style>
  <w:style w:type="paragraph" w:styleId="Heading9">
    <w:name w:val="heading 9"/>
    <w:basedOn w:val="Heading3"/>
    <w:next w:val="Normal"/>
    <w:link w:val="Heading9Char"/>
    <w:qFormat/>
    <w:locked/>
    <w:rsid w:val="00533117"/>
    <w:pPr>
      <w:keepNext/>
      <w:tabs>
        <w:tab w:val="clear" w:pos="567"/>
      </w:tabs>
      <w:spacing w:before="240"/>
      <w:ind w:left="851" w:hanging="851"/>
      <w:outlineLvl w:val="8"/>
    </w:pPr>
    <w:rPr>
      <w:rFonts w:ascii="Arial" w:hAnsi="Arial"/>
      <w:color w:val="auto"/>
      <w:kern w:val="32"/>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06849"/>
    <w:rPr>
      <w:rFonts w:asciiTheme="minorHAnsi" w:hAnsiTheme="minorHAnsi"/>
      <w:b/>
      <w:bCs/>
      <w:caps/>
      <w:color w:val="46515B"/>
      <w:sz w:val="40"/>
      <w:szCs w:val="28"/>
      <w:u w:color="46515B"/>
      <w:lang w:eastAsia="en-US"/>
    </w:rPr>
  </w:style>
  <w:style w:type="character" w:customStyle="1" w:styleId="Heading2Char">
    <w:name w:val="Heading 2 Char"/>
    <w:link w:val="Heading2"/>
    <w:uiPriority w:val="99"/>
    <w:rsid w:val="00906849"/>
    <w:rPr>
      <w:rFonts w:asciiTheme="minorHAnsi" w:hAnsiTheme="minorHAnsi" w:cs="Arial"/>
      <w:b/>
      <w:bCs/>
      <w:caps/>
      <w:color w:val="46515B"/>
      <w:sz w:val="28"/>
      <w:szCs w:val="24"/>
      <w:lang w:eastAsia="en-US"/>
    </w:rPr>
  </w:style>
  <w:style w:type="character" w:customStyle="1" w:styleId="Heading3Char">
    <w:name w:val="Heading 3 Char"/>
    <w:link w:val="Heading3"/>
    <w:uiPriority w:val="99"/>
    <w:rsid w:val="00977CE3"/>
    <w:rPr>
      <w:rFonts w:asciiTheme="minorHAnsi" w:hAnsiTheme="minorHAnsi" w:cs="Arial"/>
      <w:b/>
      <w:color w:val="00B6B1"/>
      <w:sz w:val="24"/>
      <w:szCs w:val="26"/>
      <w:lang w:eastAsia="en-US"/>
    </w:rPr>
  </w:style>
  <w:style w:type="character" w:customStyle="1" w:styleId="Heading4Char">
    <w:name w:val="Heading 4 Char"/>
    <w:link w:val="Heading4"/>
    <w:uiPriority w:val="9"/>
    <w:semiHidden/>
    <w:rsid w:val="00F621FC"/>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F621FC"/>
    <w:rPr>
      <w:rFonts w:ascii="Calibri" w:eastAsia="Times New Roman" w:hAnsi="Calibri" w:cs="Times New Roman"/>
      <w:b/>
      <w:bCs/>
      <w:i/>
      <w:iCs/>
      <w:sz w:val="26"/>
      <w:szCs w:val="26"/>
      <w:lang w:eastAsia="en-US"/>
    </w:rPr>
  </w:style>
  <w:style w:type="paragraph" w:styleId="Footer">
    <w:name w:val="footer"/>
    <w:basedOn w:val="Normal"/>
    <w:link w:val="FooterChar"/>
    <w:uiPriority w:val="99"/>
    <w:rsid w:val="006409AE"/>
    <w:pPr>
      <w:tabs>
        <w:tab w:val="center" w:pos="4320"/>
        <w:tab w:val="right" w:pos="8640"/>
      </w:tabs>
    </w:pPr>
    <w:rPr>
      <w:rFonts w:ascii="Arial" w:hAnsi="Arial"/>
      <w:sz w:val="20"/>
    </w:rPr>
  </w:style>
  <w:style w:type="character" w:customStyle="1" w:styleId="FooterChar">
    <w:name w:val="Footer Char"/>
    <w:link w:val="Footer"/>
    <w:uiPriority w:val="99"/>
    <w:locked/>
    <w:rsid w:val="006409AE"/>
    <w:rPr>
      <w:rFonts w:ascii="Arial" w:hAnsi="Arial" w:cs="Times New Roman"/>
      <w:sz w:val="24"/>
      <w:szCs w:val="24"/>
      <w:lang w:eastAsia="en-US"/>
    </w:rPr>
  </w:style>
  <w:style w:type="paragraph" w:styleId="BodyText">
    <w:name w:val="Body Text"/>
    <w:basedOn w:val="Normal"/>
    <w:link w:val="BodyTextChar"/>
    <w:uiPriority w:val="99"/>
    <w:rsid w:val="006409AE"/>
  </w:style>
  <w:style w:type="character" w:customStyle="1" w:styleId="BodyTextChar">
    <w:name w:val="Body Text Char"/>
    <w:link w:val="BodyText"/>
    <w:uiPriority w:val="99"/>
    <w:semiHidden/>
    <w:rsid w:val="00F621FC"/>
    <w:rPr>
      <w:sz w:val="24"/>
      <w:szCs w:val="24"/>
      <w:lang w:eastAsia="en-US"/>
    </w:rPr>
  </w:style>
  <w:style w:type="paragraph" w:customStyle="1" w:styleId="NumberedList">
    <w:name w:val="Numbered List"/>
    <w:basedOn w:val="Normal"/>
    <w:uiPriority w:val="99"/>
    <w:rsid w:val="006409AE"/>
    <w:pPr>
      <w:numPr>
        <w:numId w:val="1"/>
      </w:numPr>
    </w:pPr>
  </w:style>
  <w:style w:type="character" w:styleId="PageNumber">
    <w:name w:val="page number"/>
    <w:uiPriority w:val="99"/>
    <w:rsid w:val="006409AE"/>
    <w:rPr>
      <w:rFonts w:ascii="Arial" w:hAnsi="Arial" w:cs="Times New Roman"/>
      <w:sz w:val="20"/>
      <w:vertAlign w:val="baseline"/>
    </w:rPr>
  </w:style>
  <w:style w:type="paragraph" w:customStyle="1" w:styleId="HeadingReturn">
    <w:name w:val="Heading Return"/>
    <w:basedOn w:val="Heading1"/>
    <w:uiPriority w:val="99"/>
    <w:rsid w:val="006409AE"/>
    <w:pPr>
      <w:pBdr>
        <w:bottom w:val="none" w:sz="0" w:space="0" w:color="auto"/>
      </w:pBdr>
      <w:spacing w:before="0" w:after="0"/>
    </w:pPr>
    <w:rPr>
      <w:rFonts w:ascii="Times New Roman" w:hAnsi="Times New Roman"/>
      <w:b w:val="0"/>
      <w:caps w:val="0"/>
      <w:sz w:val="20"/>
    </w:rPr>
  </w:style>
  <w:style w:type="paragraph" w:styleId="TOC3">
    <w:name w:val="toc 3"/>
    <w:basedOn w:val="Normal"/>
    <w:next w:val="Normal"/>
    <w:autoRedefine/>
    <w:uiPriority w:val="39"/>
    <w:rsid w:val="007E5E3A"/>
    <w:pPr>
      <w:tabs>
        <w:tab w:val="left" w:leader="hyphen" w:pos="476"/>
        <w:tab w:val="right" w:pos="8335"/>
      </w:tabs>
      <w:spacing w:after="0"/>
      <w:ind w:left="480"/>
    </w:pPr>
    <w:rPr>
      <w:rFonts w:ascii="Verdana" w:hAnsi="Verdana"/>
      <w:iCs/>
      <w:color w:val="46515B"/>
      <w:sz w:val="22"/>
    </w:rPr>
  </w:style>
  <w:style w:type="paragraph" w:styleId="TOC1">
    <w:name w:val="toc 1"/>
    <w:basedOn w:val="Normal"/>
    <w:next w:val="Normal"/>
    <w:autoRedefine/>
    <w:uiPriority w:val="39"/>
    <w:rsid w:val="007E5E3A"/>
    <w:pPr>
      <w:tabs>
        <w:tab w:val="left" w:pos="567"/>
        <w:tab w:val="right" w:pos="8335"/>
      </w:tabs>
      <w:spacing w:before="120" w:after="120"/>
    </w:pPr>
    <w:rPr>
      <w:rFonts w:ascii="Verdana" w:hAnsi="Verdana"/>
      <w:b/>
      <w:bCs/>
      <w:caps/>
      <w:noProof/>
      <w:color w:val="46515B"/>
      <w:szCs w:val="28"/>
    </w:rPr>
  </w:style>
  <w:style w:type="paragraph" w:styleId="TOC2">
    <w:name w:val="toc 2"/>
    <w:basedOn w:val="Normal"/>
    <w:next w:val="Normal"/>
    <w:autoRedefine/>
    <w:uiPriority w:val="39"/>
    <w:rsid w:val="009568D0"/>
    <w:pPr>
      <w:tabs>
        <w:tab w:val="left" w:leader="dot" w:pos="238"/>
        <w:tab w:val="right" w:pos="8335"/>
      </w:tabs>
      <w:spacing w:after="0"/>
      <w:ind w:left="240"/>
      <w:jc w:val="center"/>
    </w:pPr>
    <w:rPr>
      <w:rFonts w:ascii="Verdana" w:hAnsi="Verdana" w:cs="Arial"/>
      <w:noProof/>
      <w:color w:val="46515B"/>
      <w:sz w:val="22"/>
    </w:rPr>
  </w:style>
  <w:style w:type="paragraph" w:styleId="TOC4">
    <w:name w:val="toc 4"/>
    <w:basedOn w:val="Normal"/>
    <w:next w:val="Normal"/>
    <w:autoRedefine/>
    <w:uiPriority w:val="99"/>
    <w:semiHidden/>
    <w:rsid w:val="007E5E3A"/>
    <w:pPr>
      <w:spacing w:after="0"/>
      <w:ind w:left="720"/>
    </w:pPr>
    <w:rPr>
      <w:rFonts w:ascii="Verdana" w:hAnsi="Verdana"/>
      <w:color w:val="46515B"/>
      <w:sz w:val="22"/>
      <w:szCs w:val="21"/>
    </w:rPr>
  </w:style>
  <w:style w:type="paragraph" w:styleId="TOC5">
    <w:name w:val="toc 5"/>
    <w:basedOn w:val="Normal"/>
    <w:next w:val="Normal"/>
    <w:autoRedefine/>
    <w:uiPriority w:val="99"/>
    <w:semiHidden/>
    <w:rsid w:val="006409AE"/>
    <w:pPr>
      <w:spacing w:after="0"/>
      <w:ind w:left="960"/>
    </w:pPr>
    <w:rPr>
      <w:szCs w:val="21"/>
    </w:rPr>
  </w:style>
  <w:style w:type="paragraph" w:styleId="TOC6">
    <w:name w:val="toc 6"/>
    <w:basedOn w:val="Normal"/>
    <w:next w:val="Normal"/>
    <w:autoRedefine/>
    <w:uiPriority w:val="99"/>
    <w:semiHidden/>
    <w:rsid w:val="006409AE"/>
    <w:pPr>
      <w:spacing w:after="0"/>
      <w:ind w:left="1200"/>
    </w:pPr>
    <w:rPr>
      <w:szCs w:val="21"/>
    </w:rPr>
  </w:style>
  <w:style w:type="paragraph" w:styleId="TOC7">
    <w:name w:val="toc 7"/>
    <w:basedOn w:val="Normal"/>
    <w:next w:val="Normal"/>
    <w:autoRedefine/>
    <w:uiPriority w:val="99"/>
    <w:semiHidden/>
    <w:rsid w:val="006409AE"/>
    <w:pPr>
      <w:spacing w:after="0"/>
      <w:ind w:left="1440"/>
    </w:pPr>
    <w:rPr>
      <w:szCs w:val="21"/>
    </w:rPr>
  </w:style>
  <w:style w:type="paragraph" w:styleId="TOC8">
    <w:name w:val="toc 8"/>
    <w:basedOn w:val="Normal"/>
    <w:next w:val="Normal"/>
    <w:autoRedefine/>
    <w:uiPriority w:val="99"/>
    <w:semiHidden/>
    <w:rsid w:val="006409AE"/>
    <w:pPr>
      <w:spacing w:after="0"/>
      <w:ind w:left="1680"/>
    </w:pPr>
    <w:rPr>
      <w:szCs w:val="21"/>
    </w:rPr>
  </w:style>
  <w:style w:type="paragraph" w:styleId="TOC9">
    <w:name w:val="toc 9"/>
    <w:basedOn w:val="Normal"/>
    <w:next w:val="Normal"/>
    <w:autoRedefine/>
    <w:uiPriority w:val="99"/>
    <w:semiHidden/>
    <w:rsid w:val="006409AE"/>
    <w:pPr>
      <w:spacing w:after="0"/>
      <w:ind w:left="1920"/>
    </w:pPr>
    <w:rPr>
      <w:szCs w:val="21"/>
    </w:rPr>
  </w:style>
  <w:style w:type="character" w:styleId="Hyperlink">
    <w:name w:val="Hyperlink"/>
    <w:uiPriority w:val="99"/>
    <w:rsid w:val="006409AE"/>
    <w:rPr>
      <w:rFonts w:cs="Times New Roman"/>
      <w:color w:val="0000FF"/>
      <w:u w:val="single"/>
    </w:rPr>
  </w:style>
  <w:style w:type="paragraph" w:customStyle="1" w:styleId="DocumentHeading">
    <w:name w:val="Document Heading"/>
    <w:basedOn w:val="Normal"/>
    <w:uiPriority w:val="99"/>
    <w:rsid w:val="006409AE"/>
    <w:pPr>
      <w:jc w:val="center"/>
    </w:pPr>
    <w:rPr>
      <w:rFonts w:ascii="Arial" w:hAnsi="Arial"/>
      <w:b/>
      <w:sz w:val="36"/>
    </w:rPr>
  </w:style>
  <w:style w:type="paragraph" w:customStyle="1" w:styleId="TitlePageDate">
    <w:name w:val="Title Page Date"/>
    <w:basedOn w:val="Heading1"/>
    <w:uiPriority w:val="99"/>
    <w:rsid w:val="006409AE"/>
    <w:pPr>
      <w:pBdr>
        <w:bottom w:val="none" w:sz="0" w:space="0" w:color="auto"/>
      </w:pBdr>
      <w:jc w:val="center"/>
    </w:pPr>
  </w:style>
  <w:style w:type="paragraph" w:customStyle="1" w:styleId="FigureHeading">
    <w:name w:val="Figure Heading"/>
    <w:basedOn w:val="Normal"/>
    <w:next w:val="Normal"/>
    <w:uiPriority w:val="99"/>
    <w:rsid w:val="006409AE"/>
    <w:pPr>
      <w:spacing w:before="240" w:after="60"/>
      <w:ind w:left="567"/>
    </w:pPr>
    <w:rPr>
      <w:b/>
    </w:rPr>
  </w:style>
  <w:style w:type="paragraph" w:customStyle="1" w:styleId="TableHeading">
    <w:name w:val="Table Heading"/>
    <w:basedOn w:val="Normal"/>
    <w:next w:val="Normal"/>
    <w:rsid w:val="006409AE"/>
    <w:pPr>
      <w:spacing w:before="240" w:after="60"/>
      <w:ind w:left="567"/>
    </w:pPr>
    <w:rPr>
      <w:b/>
    </w:rPr>
  </w:style>
  <w:style w:type="paragraph" w:styleId="BodyTextIndent">
    <w:name w:val="Body Text Indent"/>
    <w:basedOn w:val="Normal"/>
    <w:link w:val="BodyTextIndentChar"/>
    <w:uiPriority w:val="99"/>
    <w:rsid w:val="006409AE"/>
    <w:pPr>
      <w:spacing w:after="120"/>
      <w:ind w:left="283"/>
    </w:pPr>
  </w:style>
  <w:style w:type="character" w:customStyle="1" w:styleId="BodyTextIndentChar">
    <w:name w:val="Body Text Indent Char"/>
    <w:link w:val="BodyTextIndent"/>
    <w:uiPriority w:val="99"/>
    <w:semiHidden/>
    <w:rsid w:val="00F621FC"/>
    <w:rPr>
      <w:sz w:val="24"/>
      <w:szCs w:val="24"/>
      <w:lang w:eastAsia="en-US"/>
    </w:rPr>
  </w:style>
  <w:style w:type="paragraph" w:styleId="Header">
    <w:name w:val="header"/>
    <w:basedOn w:val="Normal"/>
    <w:link w:val="HeaderChar"/>
    <w:uiPriority w:val="99"/>
    <w:rsid w:val="006409AE"/>
    <w:pPr>
      <w:tabs>
        <w:tab w:val="center" w:pos="4153"/>
        <w:tab w:val="right" w:pos="8306"/>
      </w:tabs>
    </w:pPr>
  </w:style>
  <w:style w:type="character" w:customStyle="1" w:styleId="HeaderChar">
    <w:name w:val="Header Char"/>
    <w:link w:val="Header"/>
    <w:uiPriority w:val="99"/>
    <w:locked/>
    <w:rsid w:val="006409AE"/>
    <w:rPr>
      <w:rFonts w:cs="Times New Roman"/>
      <w:sz w:val="24"/>
      <w:szCs w:val="24"/>
      <w:lang w:eastAsia="en-US"/>
    </w:rPr>
  </w:style>
  <w:style w:type="table" w:styleId="TableWeb1">
    <w:name w:val="Table Web 1"/>
    <w:basedOn w:val="TableNormal"/>
    <w:uiPriority w:val="99"/>
    <w:rsid w:val="006409AE"/>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6409AE"/>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Web3">
    <w:name w:val="Table Web 3"/>
    <w:basedOn w:val="TableNormal"/>
    <w:uiPriority w:val="99"/>
    <w:rsid w:val="006409AE"/>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6409AE"/>
    <w:rPr>
      <w:rFonts w:ascii="Tahoma" w:hAnsi="Tahoma" w:cs="Tahoma"/>
      <w:sz w:val="16"/>
      <w:szCs w:val="16"/>
    </w:rPr>
  </w:style>
  <w:style w:type="character" w:customStyle="1" w:styleId="BalloonTextChar">
    <w:name w:val="Balloon Text Char"/>
    <w:link w:val="BalloonText"/>
    <w:uiPriority w:val="99"/>
    <w:semiHidden/>
    <w:rsid w:val="00F621FC"/>
    <w:rPr>
      <w:sz w:val="0"/>
      <w:szCs w:val="0"/>
      <w:lang w:eastAsia="en-US"/>
    </w:rPr>
  </w:style>
  <w:style w:type="paragraph" w:customStyle="1" w:styleId="DocumentVersionNo">
    <w:name w:val="Document Version No"/>
    <w:basedOn w:val="Normal"/>
    <w:uiPriority w:val="99"/>
    <w:rsid w:val="006409AE"/>
    <w:pPr>
      <w:keepLines/>
      <w:spacing w:before="180"/>
    </w:pPr>
    <w:rPr>
      <w:rFonts w:ascii="Arial" w:hAnsi="Arial"/>
      <w:szCs w:val="22"/>
      <w:lang w:eastAsia="en-AU"/>
    </w:rPr>
  </w:style>
  <w:style w:type="character" w:customStyle="1" w:styleId="BodyCopy">
    <w:name w:val="Body Copy"/>
    <w:uiPriority w:val="99"/>
    <w:rsid w:val="004D1667"/>
    <w:rPr>
      <w:rFonts w:asciiTheme="minorHAnsi" w:hAnsiTheme="minorHAnsi" w:cs="Times New Roman"/>
      <w:b/>
      <w:i w:val="0"/>
      <w:color w:val="46515B"/>
      <w:sz w:val="22"/>
    </w:rPr>
  </w:style>
  <w:style w:type="paragraph" w:customStyle="1" w:styleId="AckText">
    <w:name w:val="AckText"/>
    <w:basedOn w:val="Normal"/>
    <w:uiPriority w:val="99"/>
    <w:rsid w:val="006409AE"/>
    <w:pPr>
      <w:pBdr>
        <w:top w:val="single" w:sz="12" w:space="1" w:color="auto"/>
        <w:left w:val="single" w:sz="12" w:space="4" w:color="auto"/>
        <w:bottom w:val="single" w:sz="12" w:space="1" w:color="auto"/>
        <w:right w:val="single" w:sz="12" w:space="4" w:color="auto"/>
      </w:pBdr>
      <w:shd w:val="clear" w:color="auto" w:fill="D9D9D9"/>
      <w:spacing w:before="240"/>
      <w:jc w:val="center"/>
    </w:pPr>
    <w:rPr>
      <w:rFonts w:ascii="Arial" w:hAnsi="Arial" w:cs="Arial"/>
      <w:i/>
      <w:iCs/>
      <w:sz w:val="22"/>
      <w:szCs w:val="22"/>
      <w:lang w:eastAsia="en-AU"/>
    </w:rPr>
  </w:style>
  <w:style w:type="paragraph" w:customStyle="1" w:styleId="AckHeader">
    <w:name w:val="AckHeader"/>
    <w:basedOn w:val="AckText"/>
    <w:uiPriority w:val="99"/>
    <w:rsid w:val="006409AE"/>
    <w:rPr>
      <w:b/>
      <w:bCs/>
    </w:rPr>
  </w:style>
  <w:style w:type="paragraph" w:customStyle="1" w:styleId="TableText">
    <w:name w:val="TableText"/>
    <w:basedOn w:val="Normal"/>
    <w:rsid w:val="006409AE"/>
    <w:pPr>
      <w:spacing w:before="60" w:after="60"/>
    </w:pPr>
    <w:rPr>
      <w:rFonts w:ascii="Arial" w:hAnsi="Arial" w:cs="Arial"/>
      <w:sz w:val="20"/>
      <w:szCs w:val="22"/>
      <w:lang w:eastAsia="en-AU"/>
    </w:rPr>
  </w:style>
  <w:style w:type="paragraph" w:customStyle="1" w:styleId="TableRowHeading">
    <w:name w:val="TableRowHeading"/>
    <w:basedOn w:val="Normal"/>
    <w:rsid w:val="006409AE"/>
    <w:pPr>
      <w:spacing w:before="60" w:after="60"/>
    </w:pPr>
    <w:rPr>
      <w:rFonts w:ascii="Arial" w:hAnsi="Arial" w:cs="Arial"/>
      <w:b/>
      <w:bCs/>
      <w:sz w:val="20"/>
      <w:szCs w:val="22"/>
      <w:lang w:eastAsia="en-AU"/>
    </w:rPr>
  </w:style>
  <w:style w:type="paragraph" w:customStyle="1" w:styleId="NormalItalics">
    <w:name w:val="NormalItalics"/>
    <w:basedOn w:val="Normal"/>
    <w:uiPriority w:val="99"/>
    <w:rsid w:val="006409AE"/>
    <w:pPr>
      <w:spacing w:before="100" w:beforeAutospacing="1" w:after="100" w:afterAutospacing="1"/>
    </w:pPr>
    <w:rPr>
      <w:rFonts w:ascii="Arial" w:hAnsi="Arial"/>
      <w:i/>
      <w:iCs/>
      <w:sz w:val="22"/>
      <w:szCs w:val="22"/>
      <w:lang w:eastAsia="en-AU"/>
    </w:rPr>
  </w:style>
  <w:style w:type="paragraph" w:customStyle="1" w:styleId="TableText0">
    <w:name w:val="Table Text"/>
    <w:basedOn w:val="Normal"/>
    <w:qFormat/>
    <w:rsid w:val="00906849"/>
    <w:pPr>
      <w:keepLines/>
      <w:spacing w:before="60" w:after="60"/>
    </w:pPr>
    <w:rPr>
      <w:rFonts w:asciiTheme="minorHAnsi" w:hAnsiTheme="minorHAnsi"/>
      <w:sz w:val="20"/>
      <w:szCs w:val="22"/>
      <w:lang w:eastAsia="en-AU"/>
    </w:rPr>
  </w:style>
  <w:style w:type="paragraph" w:styleId="Caption">
    <w:name w:val="caption"/>
    <w:basedOn w:val="Normal"/>
    <w:next w:val="Normal"/>
    <w:uiPriority w:val="99"/>
    <w:qFormat/>
    <w:rsid w:val="00906849"/>
    <w:pPr>
      <w:keepLines/>
      <w:spacing w:before="100" w:beforeAutospacing="1" w:after="100" w:afterAutospacing="1"/>
    </w:pPr>
    <w:rPr>
      <w:rFonts w:asciiTheme="minorHAnsi" w:hAnsiTheme="minorHAnsi"/>
      <w:b/>
      <w:bCs/>
      <w:sz w:val="20"/>
      <w:szCs w:val="20"/>
      <w:lang w:eastAsia="en-AU"/>
    </w:rPr>
  </w:style>
  <w:style w:type="paragraph" w:styleId="TOCHeading">
    <w:name w:val="TOC Heading"/>
    <w:basedOn w:val="Heading1"/>
    <w:next w:val="Normal"/>
    <w:uiPriority w:val="99"/>
    <w:rsid w:val="006409AE"/>
    <w:pPr>
      <w:pBdr>
        <w:bottom w:val="none" w:sz="0" w:space="0" w:color="auto"/>
      </w:pBdr>
      <w:spacing w:before="480" w:after="0" w:line="276" w:lineRule="auto"/>
      <w:outlineLvl w:val="9"/>
    </w:pPr>
    <w:rPr>
      <w:rFonts w:ascii="Cambria" w:hAnsi="Cambria"/>
      <w:caps w:val="0"/>
      <w:color w:val="365F91"/>
      <w:lang w:val="en-US"/>
    </w:rPr>
  </w:style>
  <w:style w:type="paragraph" w:styleId="FootnoteText">
    <w:name w:val="footnote text"/>
    <w:basedOn w:val="Normal"/>
    <w:link w:val="FootnoteTextChar"/>
    <w:rsid w:val="006409AE"/>
    <w:pPr>
      <w:spacing w:after="0"/>
    </w:pPr>
    <w:rPr>
      <w:sz w:val="20"/>
      <w:szCs w:val="20"/>
    </w:rPr>
  </w:style>
  <w:style w:type="character" w:customStyle="1" w:styleId="FootnoteTextChar">
    <w:name w:val="Footnote Text Char"/>
    <w:link w:val="FootnoteText"/>
    <w:locked/>
    <w:rsid w:val="006409AE"/>
    <w:rPr>
      <w:rFonts w:cs="Times New Roman"/>
      <w:lang w:eastAsia="en-US"/>
    </w:rPr>
  </w:style>
  <w:style w:type="character" w:styleId="FootnoteReference">
    <w:name w:val="footnote reference"/>
    <w:rsid w:val="006409AE"/>
    <w:rPr>
      <w:rFonts w:cs="Times New Roman"/>
      <w:vertAlign w:val="superscript"/>
    </w:rPr>
  </w:style>
  <w:style w:type="paragraph" w:styleId="ListParagraph">
    <w:name w:val="List Paragraph"/>
    <w:basedOn w:val="Normal"/>
    <w:uiPriority w:val="34"/>
    <w:qFormat/>
    <w:rsid w:val="006409AE"/>
    <w:pPr>
      <w:ind w:left="720"/>
      <w:contextualSpacing/>
    </w:pPr>
  </w:style>
  <w:style w:type="paragraph" w:customStyle="1" w:styleId="ListBullet1b">
    <w:name w:val="List Bullet 1b"/>
    <w:basedOn w:val="Normal"/>
    <w:uiPriority w:val="99"/>
    <w:rsid w:val="006409AE"/>
    <w:pPr>
      <w:keepLines/>
      <w:tabs>
        <w:tab w:val="num" w:pos="900"/>
      </w:tabs>
      <w:spacing w:before="100" w:beforeAutospacing="1" w:after="100" w:afterAutospacing="1"/>
      <w:ind w:left="900" w:hanging="333"/>
    </w:pPr>
    <w:rPr>
      <w:rFonts w:ascii="Arial" w:hAnsi="Arial"/>
      <w:sz w:val="22"/>
      <w:szCs w:val="22"/>
      <w:lang w:eastAsia="en-AU"/>
    </w:rPr>
  </w:style>
  <w:style w:type="paragraph" w:customStyle="1" w:styleId="NormalIndent1">
    <w:name w:val="Normal Indent 1"/>
    <w:basedOn w:val="Normal"/>
    <w:uiPriority w:val="99"/>
    <w:rsid w:val="006409AE"/>
    <w:pPr>
      <w:keepLines/>
      <w:spacing w:before="100" w:beforeAutospacing="1" w:after="100" w:afterAutospacing="1"/>
      <w:ind w:left="567"/>
    </w:pPr>
    <w:rPr>
      <w:rFonts w:ascii="Arial" w:hAnsi="Arial"/>
      <w:sz w:val="22"/>
      <w:szCs w:val="22"/>
      <w:lang w:eastAsia="en-AU"/>
    </w:rPr>
  </w:style>
  <w:style w:type="paragraph" w:styleId="BodyText3">
    <w:name w:val="Body Text 3"/>
    <w:basedOn w:val="Normal"/>
    <w:link w:val="BodyText3Char"/>
    <w:uiPriority w:val="99"/>
    <w:rsid w:val="006409AE"/>
    <w:pPr>
      <w:spacing w:after="120"/>
    </w:pPr>
    <w:rPr>
      <w:sz w:val="16"/>
      <w:szCs w:val="16"/>
    </w:rPr>
  </w:style>
  <w:style w:type="character" w:customStyle="1" w:styleId="BodyText3Char">
    <w:name w:val="Body Text 3 Char"/>
    <w:link w:val="BodyText3"/>
    <w:uiPriority w:val="99"/>
    <w:locked/>
    <w:rsid w:val="006409AE"/>
    <w:rPr>
      <w:rFonts w:cs="Times New Roman"/>
      <w:sz w:val="16"/>
      <w:szCs w:val="16"/>
      <w:lang w:eastAsia="en-US"/>
    </w:rPr>
  </w:style>
  <w:style w:type="paragraph" w:styleId="BodyTextIndent3">
    <w:name w:val="Body Text Indent 3"/>
    <w:basedOn w:val="Normal"/>
    <w:link w:val="BodyTextIndent3Char"/>
    <w:uiPriority w:val="99"/>
    <w:rsid w:val="006409AE"/>
    <w:pPr>
      <w:spacing w:after="120"/>
      <w:ind w:left="283"/>
    </w:pPr>
    <w:rPr>
      <w:sz w:val="16"/>
      <w:szCs w:val="16"/>
    </w:rPr>
  </w:style>
  <w:style w:type="character" w:customStyle="1" w:styleId="BodyTextIndent3Char">
    <w:name w:val="Body Text Indent 3 Char"/>
    <w:link w:val="BodyTextIndent3"/>
    <w:uiPriority w:val="99"/>
    <w:locked/>
    <w:rsid w:val="006409AE"/>
    <w:rPr>
      <w:rFonts w:cs="Times New Roman"/>
      <w:sz w:val="16"/>
      <w:szCs w:val="16"/>
      <w:lang w:eastAsia="en-US"/>
    </w:rPr>
  </w:style>
  <w:style w:type="table" w:styleId="TableGrid">
    <w:name w:val="Table Grid"/>
    <w:basedOn w:val="TableNormal"/>
    <w:uiPriority w:val="99"/>
    <w:rsid w:val="006409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D71925"/>
    <w:rPr>
      <w:rFonts w:cs="Times New Roman"/>
      <w:sz w:val="16"/>
      <w:szCs w:val="16"/>
    </w:rPr>
  </w:style>
  <w:style w:type="paragraph" w:styleId="CommentText">
    <w:name w:val="annotation text"/>
    <w:basedOn w:val="Normal"/>
    <w:link w:val="CommentTextChar"/>
    <w:rsid w:val="00D71925"/>
    <w:rPr>
      <w:sz w:val="20"/>
      <w:szCs w:val="20"/>
    </w:rPr>
  </w:style>
  <w:style w:type="character" w:customStyle="1" w:styleId="CommentTextChar">
    <w:name w:val="Comment Text Char"/>
    <w:link w:val="CommentText"/>
    <w:locked/>
    <w:rsid w:val="00D71925"/>
    <w:rPr>
      <w:rFonts w:cs="Times New Roman"/>
      <w:lang w:eastAsia="en-US"/>
    </w:rPr>
  </w:style>
  <w:style w:type="paragraph" w:styleId="CommentSubject">
    <w:name w:val="annotation subject"/>
    <w:basedOn w:val="CommentText"/>
    <w:next w:val="CommentText"/>
    <w:link w:val="CommentSubjectChar"/>
    <w:uiPriority w:val="99"/>
    <w:rsid w:val="00D71925"/>
    <w:rPr>
      <w:b/>
      <w:bCs/>
    </w:rPr>
  </w:style>
  <w:style w:type="character" w:customStyle="1" w:styleId="CommentSubjectChar">
    <w:name w:val="Comment Subject Char"/>
    <w:link w:val="CommentSubject"/>
    <w:uiPriority w:val="99"/>
    <w:locked/>
    <w:rsid w:val="00D71925"/>
    <w:rPr>
      <w:rFonts w:cs="Times New Roman"/>
      <w:b/>
      <w:bCs/>
      <w:lang w:eastAsia="en-US"/>
    </w:rPr>
  </w:style>
  <w:style w:type="character" w:customStyle="1" w:styleId="p1">
    <w:name w:val="p1"/>
    <w:uiPriority w:val="99"/>
    <w:rsid w:val="00C932E4"/>
    <w:rPr>
      <w:rFonts w:cs="Times New Roman"/>
    </w:rPr>
  </w:style>
  <w:style w:type="paragraph" w:styleId="Subtitle">
    <w:name w:val="Subtitle"/>
    <w:basedOn w:val="Normal"/>
    <w:next w:val="Normal"/>
    <w:link w:val="SubtitleChar"/>
    <w:qFormat/>
    <w:locked/>
    <w:rsid w:val="00906849"/>
    <w:pPr>
      <w:numPr>
        <w:ilvl w:val="1"/>
      </w:numPr>
      <w:spacing w:before="100" w:beforeAutospacing="1"/>
    </w:pPr>
    <w:rPr>
      <w:rFonts w:asciiTheme="minorHAnsi" w:hAnsiTheme="minorHAnsi"/>
      <w:iCs/>
      <w:caps/>
      <w:color w:val="FFFFFF" w:themeColor="background1"/>
      <w:spacing w:val="15"/>
      <w:sz w:val="36"/>
    </w:rPr>
  </w:style>
  <w:style w:type="character" w:customStyle="1" w:styleId="SubtitleChar">
    <w:name w:val="Subtitle Char"/>
    <w:link w:val="Subtitle"/>
    <w:rsid w:val="00906849"/>
    <w:rPr>
      <w:rFonts w:asciiTheme="minorHAnsi" w:hAnsiTheme="minorHAnsi"/>
      <w:iCs/>
      <w:caps/>
      <w:color w:val="FFFFFF" w:themeColor="background1"/>
      <w:spacing w:val="15"/>
      <w:sz w:val="36"/>
      <w:szCs w:val="24"/>
      <w:lang w:eastAsia="en-US"/>
    </w:rPr>
  </w:style>
  <w:style w:type="paragraph" w:customStyle="1" w:styleId="NormalItalic">
    <w:name w:val="NormalItalic"/>
    <w:basedOn w:val="Normal"/>
    <w:rsid w:val="000A1BF5"/>
    <w:pPr>
      <w:spacing w:before="100" w:beforeAutospacing="1" w:after="100" w:afterAutospacing="1"/>
    </w:pPr>
    <w:rPr>
      <w:rFonts w:ascii="Arial" w:hAnsi="Arial" w:cs="Arial"/>
      <w:i/>
      <w:iCs/>
      <w:sz w:val="22"/>
      <w:szCs w:val="22"/>
      <w:lang w:eastAsia="en-AU"/>
    </w:rPr>
  </w:style>
  <w:style w:type="paragraph" w:customStyle="1" w:styleId="TableHeading0">
    <w:name w:val="TableHeading"/>
    <w:basedOn w:val="Normal"/>
    <w:rsid w:val="00957B4B"/>
    <w:pPr>
      <w:keepNext/>
      <w:keepLines/>
      <w:spacing w:before="100" w:beforeAutospacing="1" w:after="120" w:afterAutospacing="1"/>
    </w:pPr>
    <w:rPr>
      <w:rFonts w:ascii="Arial" w:hAnsi="Arial"/>
      <w:b/>
      <w:bCs/>
      <w:sz w:val="22"/>
      <w:szCs w:val="22"/>
      <w:lang w:eastAsia="en-AU"/>
    </w:rPr>
  </w:style>
  <w:style w:type="character" w:styleId="Strong">
    <w:name w:val="Strong"/>
    <w:qFormat/>
    <w:locked/>
    <w:rsid w:val="00957B4B"/>
    <w:rPr>
      <w:b/>
      <w:bCs/>
    </w:rPr>
  </w:style>
  <w:style w:type="character" w:styleId="Emphasis">
    <w:name w:val="Emphasis"/>
    <w:uiPriority w:val="20"/>
    <w:qFormat/>
    <w:locked/>
    <w:rsid w:val="00957B4B"/>
    <w:rPr>
      <w:i/>
      <w:iCs/>
    </w:rPr>
  </w:style>
  <w:style w:type="paragraph" w:customStyle="1" w:styleId="Footnote">
    <w:name w:val="Footnote"/>
    <w:basedOn w:val="Normal"/>
    <w:rsid w:val="00583949"/>
    <w:pPr>
      <w:spacing w:after="0"/>
      <w:ind w:left="540" w:hanging="540"/>
    </w:pPr>
    <w:rPr>
      <w:rFonts w:ascii="Arial" w:hAnsi="Arial" w:cs="Arial"/>
      <w:sz w:val="20"/>
      <w:szCs w:val="22"/>
      <w:lang w:eastAsia="en-AU"/>
    </w:rPr>
  </w:style>
  <w:style w:type="paragraph" w:styleId="ListBullet">
    <w:name w:val="List Bullet"/>
    <w:basedOn w:val="Normal"/>
    <w:uiPriority w:val="99"/>
    <w:rsid w:val="00583949"/>
    <w:pPr>
      <w:keepLines/>
      <w:numPr>
        <w:numId w:val="2"/>
      </w:numPr>
      <w:spacing w:before="240" w:after="100" w:afterAutospacing="1"/>
    </w:pPr>
    <w:rPr>
      <w:rFonts w:ascii="Arial" w:hAnsi="Arial"/>
      <w:sz w:val="22"/>
      <w:szCs w:val="22"/>
      <w:lang w:eastAsia="en-AU"/>
    </w:rPr>
  </w:style>
  <w:style w:type="paragraph" w:styleId="ListBullet2">
    <w:name w:val="List Bullet 2"/>
    <w:basedOn w:val="Normal"/>
    <w:uiPriority w:val="99"/>
    <w:rsid w:val="00583949"/>
    <w:pPr>
      <w:keepLines/>
      <w:numPr>
        <w:ilvl w:val="1"/>
        <w:numId w:val="2"/>
      </w:numPr>
      <w:spacing w:before="240" w:after="100" w:afterAutospacing="1"/>
    </w:pPr>
    <w:rPr>
      <w:rFonts w:ascii="Arial" w:hAnsi="Arial"/>
      <w:sz w:val="22"/>
      <w:szCs w:val="22"/>
      <w:lang w:eastAsia="en-AU"/>
    </w:rPr>
  </w:style>
  <w:style w:type="paragraph" w:styleId="ListBullet3">
    <w:name w:val="List Bullet 3"/>
    <w:basedOn w:val="Normal"/>
    <w:uiPriority w:val="99"/>
    <w:rsid w:val="00583949"/>
    <w:pPr>
      <w:keepLines/>
      <w:numPr>
        <w:ilvl w:val="2"/>
        <w:numId w:val="2"/>
      </w:numPr>
      <w:spacing w:before="240" w:after="100" w:afterAutospacing="1"/>
    </w:pPr>
    <w:rPr>
      <w:rFonts w:ascii="Arial" w:hAnsi="Arial"/>
      <w:sz w:val="22"/>
      <w:szCs w:val="22"/>
      <w:lang w:eastAsia="en-AU"/>
    </w:rPr>
  </w:style>
  <w:style w:type="paragraph" w:styleId="ListBullet4">
    <w:name w:val="List Bullet 4"/>
    <w:basedOn w:val="Normal"/>
    <w:uiPriority w:val="99"/>
    <w:rsid w:val="00583949"/>
    <w:pPr>
      <w:keepLines/>
      <w:numPr>
        <w:ilvl w:val="3"/>
        <w:numId w:val="2"/>
      </w:numPr>
      <w:spacing w:before="240" w:after="100" w:afterAutospacing="1"/>
    </w:pPr>
    <w:rPr>
      <w:rFonts w:ascii="Arial" w:hAnsi="Arial"/>
      <w:sz w:val="22"/>
      <w:szCs w:val="22"/>
      <w:lang w:eastAsia="en-AU"/>
    </w:rPr>
  </w:style>
  <w:style w:type="paragraph" w:styleId="EndnoteText">
    <w:name w:val="endnote text"/>
    <w:basedOn w:val="Normal"/>
    <w:link w:val="EndnoteTextChar"/>
    <w:semiHidden/>
    <w:unhideWhenUsed/>
    <w:rsid w:val="001D15B7"/>
    <w:pPr>
      <w:spacing w:after="0"/>
    </w:pPr>
    <w:rPr>
      <w:sz w:val="20"/>
      <w:szCs w:val="20"/>
    </w:rPr>
  </w:style>
  <w:style w:type="character" w:customStyle="1" w:styleId="EndnoteTextChar">
    <w:name w:val="Endnote Text Char"/>
    <w:link w:val="EndnoteText"/>
    <w:semiHidden/>
    <w:rsid w:val="001D15B7"/>
    <w:rPr>
      <w:sz w:val="20"/>
      <w:szCs w:val="20"/>
      <w:lang w:eastAsia="en-US"/>
    </w:rPr>
  </w:style>
  <w:style w:type="character" w:styleId="EndnoteReference">
    <w:name w:val="endnote reference"/>
    <w:uiPriority w:val="99"/>
    <w:unhideWhenUsed/>
    <w:rsid w:val="001D15B7"/>
    <w:rPr>
      <w:vertAlign w:val="superscript"/>
    </w:rPr>
  </w:style>
  <w:style w:type="paragraph" w:styleId="Revision">
    <w:name w:val="Revision"/>
    <w:hidden/>
    <w:uiPriority w:val="99"/>
    <w:semiHidden/>
    <w:rsid w:val="00F15197"/>
    <w:rPr>
      <w:sz w:val="24"/>
      <w:szCs w:val="24"/>
      <w:lang w:eastAsia="en-US"/>
    </w:rPr>
  </w:style>
  <w:style w:type="paragraph" w:customStyle="1" w:styleId="Acknowledgements">
    <w:name w:val="Acknowledgements"/>
    <w:link w:val="AcknowledgementsChar"/>
    <w:qFormat/>
    <w:rsid w:val="00906849"/>
    <w:rPr>
      <w:rFonts w:asciiTheme="minorHAnsi" w:hAnsiTheme="minorHAnsi" w:cs="Arial"/>
      <w:iCs/>
      <w:color w:val="46515B"/>
      <w:szCs w:val="28"/>
    </w:rPr>
  </w:style>
  <w:style w:type="paragraph" w:customStyle="1" w:styleId="Body">
    <w:name w:val="Body"/>
    <w:link w:val="BodyChar"/>
    <w:qFormat/>
    <w:rsid w:val="00906849"/>
    <w:pPr>
      <w:spacing w:before="240" w:after="120"/>
    </w:pPr>
    <w:rPr>
      <w:rFonts w:asciiTheme="minorHAnsi" w:hAnsiTheme="minorHAnsi"/>
      <w:iCs/>
      <w:color w:val="46515B"/>
      <w:sz w:val="22"/>
      <w:szCs w:val="24"/>
      <w:lang w:eastAsia="en-US"/>
    </w:rPr>
  </w:style>
  <w:style w:type="character" w:customStyle="1" w:styleId="AcknowledgementsChar">
    <w:name w:val="Acknowledgements Char"/>
    <w:basedOn w:val="DefaultParagraphFont"/>
    <w:link w:val="Acknowledgements"/>
    <w:rsid w:val="00906849"/>
    <w:rPr>
      <w:rFonts w:asciiTheme="minorHAnsi" w:hAnsiTheme="minorHAnsi" w:cs="Arial"/>
      <w:iCs/>
      <w:color w:val="46515B"/>
      <w:szCs w:val="28"/>
    </w:rPr>
  </w:style>
  <w:style w:type="paragraph" w:customStyle="1" w:styleId="Bullets">
    <w:name w:val="Bullets"/>
    <w:basedOn w:val="Body"/>
    <w:link w:val="BulletsChar"/>
    <w:qFormat/>
    <w:rsid w:val="00CC7CBA"/>
    <w:pPr>
      <w:numPr>
        <w:numId w:val="3"/>
      </w:numPr>
    </w:pPr>
  </w:style>
  <w:style w:type="character" w:customStyle="1" w:styleId="BodyChar">
    <w:name w:val="Body Char"/>
    <w:basedOn w:val="SubtitleChar"/>
    <w:link w:val="Body"/>
    <w:rsid w:val="00906849"/>
    <w:rPr>
      <w:rFonts w:asciiTheme="minorHAnsi" w:hAnsiTheme="minorHAnsi"/>
      <w:iCs/>
      <w:caps w:val="0"/>
      <w:color w:val="46515B"/>
      <w:spacing w:val="15"/>
      <w:sz w:val="22"/>
      <w:szCs w:val="24"/>
      <w:lang w:eastAsia="en-US"/>
    </w:rPr>
  </w:style>
  <w:style w:type="paragraph" w:customStyle="1" w:styleId="TableHeading1">
    <w:name w:val="Table Heading 1"/>
    <w:basedOn w:val="Normal"/>
    <w:link w:val="TableHeading1Char"/>
    <w:qFormat/>
    <w:rsid w:val="000921D3"/>
    <w:rPr>
      <w:rFonts w:asciiTheme="minorHAnsi" w:hAnsiTheme="minorHAnsi"/>
      <w:b/>
      <w:caps/>
      <w:color w:val="46515B"/>
      <w:sz w:val="22"/>
    </w:rPr>
  </w:style>
  <w:style w:type="character" w:customStyle="1" w:styleId="BulletsChar">
    <w:name w:val="Bullets Char"/>
    <w:basedOn w:val="BodyChar"/>
    <w:link w:val="Bullets"/>
    <w:rsid w:val="00A62BDD"/>
    <w:rPr>
      <w:rFonts w:asciiTheme="minorHAnsi" w:hAnsiTheme="minorHAnsi"/>
      <w:iCs/>
      <w:caps w:val="0"/>
      <w:color w:val="46515B"/>
      <w:spacing w:val="15"/>
      <w:sz w:val="22"/>
      <w:szCs w:val="24"/>
      <w:lang w:eastAsia="en-US"/>
    </w:rPr>
  </w:style>
  <w:style w:type="paragraph" w:customStyle="1" w:styleId="TableHeader">
    <w:name w:val="Table Header"/>
    <w:basedOn w:val="TableHeading1"/>
    <w:link w:val="TableHeaderChar"/>
    <w:qFormat/>
    <w:rsid w:val="00877E67"/>
    <w:pPr>
      <w:spacing w:before="120" w:after="120"/>
    </w:pPr>
    <w:rPr>
      <w:caps w:val="0"/>
    </w:rPr>
  </w:style>
  <w:style w:type="character" w:customStyle="1" w:styleId="TableHeading1Char">
    <w:name w:val="Table Heading 1 Char"/>
    <w:basedOn w:val="DefaultParagraphFont"/>
    <w:link w:val="TableHeading1"/>
    <w:rsid w:val="000921D3"/>
    <w:rPr>
      <w:rFonts w:asciiTheme="minorHAnsi" w:hAnsiTheme="minorHAnsi"/>
      <w:b/>
      <w:caps/>
      <w:color w:val="46515B"/>
      <w:sz w:val="22"/>
      <w:szCs w:val="24"/>
      <w:lang w:eastAsia="en-US"/>
    </w:rPr>
  </w:style>
  <w:style w:type="paragraph" w:customStyle="1" w:styleId="TableBody">
    <w:name w:val="Table Body"/>
    <w:link w:val="TableBodyChar"/>
    <w:qFormat/>
    <w:rsid w:val="00906849"/>
    <w:pPr>
      <w:spacing w:before="40" w:after="40"/>
    </w:pPr>
    <w:rPr>
      <w:rFonts w:asciiTheme="minorHAnsi" w:hAnsiTheme="minorHAnsi"/>
      <w:iCs/>
      <w:color w:val="46515B"/>
      <w:szCs w:val="24"/>
      <w:lang w:eastAsia="en-US"/>
    </w:rPr>
  </w:style>
  <w:style w:type="character" w:customStyle="1" w:styleId="TableHeaderChar">
    <w:name w:val="Table Header Char"/>
    <w:basedOn w:val="TableHeading1Char"/>
    <w:link w:val="TableHeader"/>
    <w:rsid w:val="00877E67"/>
    <w:rPr>
      <w:rFonts w:ascii="Arial" w:hAnsi="Arial"/>
      <w:b/>
      <w:caps w:val="0"/>
      <w:color w:val="46515B"/>
      <w:sz w:val="22"/>
      <w:szCs w:val="24"/>
      <w:lang w:eastAsia="en-US"/>
    </w:rPr>
  </w:style>
  <w:style w:type="character" w:customStyle="1" w:styleId="TableBodyChar">
    <w:name w:val="Table Body Char"/>
    <w:basedOn w:val="DefaultParagraphFont"/>
    <w:link w:val="TableBody"/>
    <w:rsid w:val="00906849"/>
    <w:rPr>
      <w:rFonts w:asciiTheme="minorHAnsi" w:hAnsiTheme="minorHAnsi"/>
      <w:iCs/>
      <w:color w:val="46515B"/>
      <w:szCs w:val="24"/>
      <w:lang w:eastAsia="en-US"/>
    </w:rPr>
  </w:style>
  <w:style w:type="paragraph" w:customStyle="1" w:styleId="Bullets2">
    <w:name w:val="Bullets 2"/>
    <w:basedOn w:val="Bullets"/>
    <w:link w:val="Bullets2Char"/>
    <w:qFormat/>
    <w:rsid w:val="002201B1"/>
    <w:pPr>
      <w:numPr>
        <w:numId w:val="4"/>
      </w:numPr>
    </w:pPr>
  </w:style>
  <w:style w:type="character" w:customStyle="1" w:styleId="Bullets2Char">
    <w:name w:val="Bullets 2 Char"/>
    <w:basedOn w:val="BulletsChar"/>
    <w:link w:val="Bullets2"/>
    <w:rsid w:val="002201B1"/>
    <w:rPr>
      <w:rFonts w:asciiTheme="minorHAnsi" w:hAnsiTheme="minorHAnsi"/>
      <w:iCs/>
      <w:caps w:val="0"/>
      <w:color w:val="46515B"/>
      <w:spacing w:val="15"/>
      <w:sz w:val="22"/>
      <w:szCs w:val="24"/>
      <w:lang w:eastAsia="en-US"/>
    </w:rPr>
  </w:style>
  <w:style w:type="table" w:customStyle="1" w:styleId="AHAwithTotal">
    <w:name w:val="AHA with Total"/>
    <w:basedOn w:val="TableNormal"/>
    <w:uiPriority w:val="99"/>
    <w:rsid w:val="00977CE3"/>
    <w:pPr>
      <w:spacing w:before="120" w:after="120"/>
    </w:pPr>
    <w:rPr>
      <w:color w:val="FFFFFF" w:themeColor="background1"/>
    </w:rPr>
    <w:tblPr>
      <w:tblStyleRowBandSize w:val="1"/>
    </w:tblPr>
    <w:tblStylePr w:type="firstRow">
      <w:rPr>
        <w:rFonts w:ascii="Arial" w:hAnsi="Arial"/>
        <w:b/>
        <w:sz w:val="20"/>
      </w:rPr>
      <w:tblPr/>
      <w:tcPr>
        <w:shd w:val="clear" w:color="auto" w:fill="00B6B1"/>
      </w:tcPr>
    </w:tblStylePr>
    <w:tblStylePr w:type="lastRow">
      <w:rPr>
        <w:rFonts w:ascii="Arial" w:hAnsi="Arial"/>
        <w:b/>
        <w:sz w:val="20"/>
      </w:rPr>
      <w:tblPr/>
      <w:tcPr>
        <w:shd w:val="clear" w:color="auto" w:fill="00B6B1"/>
      </w:tcPr>
    </w:tblStylePr>
    <w:tblStylePr w:type="band1Horz">
      <w:rPr>
        <w:rFonts w:ascii="Arial" w:hAnsi="Arial"/>
        <w:color w:val="44546A" w:themeColor="text2"/>
        <w:sz w:val="20"/>
      </w:rPr>
      <w:tblPr/>
      <w:tcPr>
        <w:tcBorders>
          <w:top w:val="single" w:sz="4" w:space="0" w:color="ABA7A7"/>
          <w:left w:val="single" w:sz="4" w:space="0" w:color="ABA7A7"/>
          <w:bottom w:val="single" w:sz="4" w:space="0" w:color="ABA7A7"/>
          <w:right w:val="single" w:sz="4" w:space="0" w:color="ABA7A7"/>
          <w:insideH w:val="single" w:sz="4" w:space="0" w:color="ABA7A7"/>
          <w:insideV w:val="single" w:sz="4" w:space="0" w:color="ABA7A7"/>
        </w:tcBorders>
        <w:shd w:val="clear" w:color="auto" w:fill="F3F3F3"/>
      </w:tcPr>
    </w:tblStylePr>
    <w:tblStylePr w:type="band2Horz">
      <w:rPr>
        <w:rFonts w:ascii="Arial" w:hAnsi="Arial"/>
        <w:color w:val="44546A" w:themeColor="text2"/>
        <w:sz w:val="20"/>
      </w:rPr>
      <w:tblPr/>
      <w:tcPr>
        <w:tcBorders>
          <w:top w:val="single" w:sz="4" w:space="0" w:color="ABA7A7"/>
          <w:left w:val="single" w:sz="4" w:space="0" w:color="ABA7A7"/>
          <w:bottom w:val="single" w:sz="4" w:space="0" w:color="ABA7A7"/>
          <w:right w:val="single" w:sz="4" w:space="0" w:color="ABA7A7"/>
          <w:insideH w:val="single" w:sz="4" w:space="0" w:color="ABA7A7"/>
          <w:insideV w:val="single" w:sz="4" w:space="0" w:color="ABA7A7"/>
        </w:tcBorders>
      </w:tcPr>
    </w:tblStylePr>
  </w:style>
  <w:style w:type="paragraph" w:customStyle="1" w:styleId="NumberedBullets">
    <w:name w:val="Numbered Bullets"/>
    <w:basedOn w:val="Body"/>
    <w:link w:val="NumberedBulletsChar"/>
    <w:qFormat/>
    <w:rsid w:val="00490FD4"/>
    <w:pPr>
      <w:numPr>
        <w:numId w:val="5"/>
      </w:numPr>
      <w:ind w:left="527" w:hanging="357"/>
    </w:pPr>
  </w:style>
  <w:style w:type="paragraph" w:styleId="Title">
    <w:name w:val="Title"/>
    <w:basedOn w:val="Normal"/>
    <w:next w:val="Normal"/>
    <w:link w:val="TitleChar"/>
    <w:qFormat/>
    <w:locked/>
    <w:rsid w:val="00906849"/>
    <w:pPr>
      <w:spacing w:after="600"/>
      <w:contextualSpacing/>
    </w:pPr>
    <w:rPr>
      <w:rFonts w:asciiTheme="minorHAnsi" w:eastAsiaTheme="majorEastAsia" w:hAnsiTheme="minorHAnsi" w:cstheme="majorBidi"/>
      <w:caps/>
      <w:noProof/>
      <w:color w:val="FFFFFF" w:themeColor="background1"/>
      <w:spacing w:val="-10"/>
      <w:kern w:val="28"/>
      <w:sz w:val="80"/>
      <w:szCs w:val="56"/>
    </w:rPr>
  </w:style>
  <w:style w:type="character" w:customStyle="1" w:styleId="NumberedBulletsChar">
    <w:name w:val="Numbered Bullets Char"/>
    <w:basedOn w:val="BodyChar"/>
    <w:link w:val="NumberedBullets"/>
    <w:rsid w:val="00490FD4"/>
    <w:rPr>
      <w:rFonts w:asciiTheme="minorHAnsi" w:hAnsiTheme="minorHAnsi"/>
      <w:iCs/>
      <w:caps w:val="0"/>
      <w:color w:val="46515B"/>
      <w:spacing w:val="15"/>
      <w:sz w:val="22"/>
      <w:szCs w:val="24"/>
      <w:lang w:eastAsia="en-US"/>
    </w:rPr>
  </w:style>
  <w:style w:type="character" w:customStyle="1" w:styleId="TitleChar">
    <w:name w:val="Title Char"/>
    <w:basedOn w:val="DefaultParagraphFont"/>
    <w:link w:val="Title"/>
    <w:rsid w:val="00906849"/>
    <w:rPr>
      <w:rFonts w:asciiTheme="minorHAnsi" w:eastAsiaTheme="majorEastAsia" w:hAnsiTheme="minorHAnsi" w:cstheme="majorBidi"/>
      <w:caps/>
      <w:noProof/>
      <w:color w:val="FFFFFF" w:themeColor="background1"/>
      <w:spacing w:val="-10"/>
      <w:kern w:val="28"/>
      <w:sz w:val="80"/>
      <w:szCs w:val="56"/>
      <w:lang w:eastAsia="en-US"/>
    </w:rPr>
  </w:style>
  <w:style w:type="paragraph" w:styleId="NoSpacing">
    <w:name w:val="No Spacing"/>
    <w:link w:val="NoSpacingChar"/>
    <w:uiPriority w:val="1"/>
    <w:qFormat/>
    <w:rsid w:val="0062793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27938"/>
    <w:rPr>
      <w:rFonts w:asciiTheme="minorHAnsi" w:eastAsiaTheme="minorEastAsia" w:hAnsiTheme="minorHAnsi" w:cstheme="minorBidi"/>
      <w:sz w:val="22"/>
      <w:szCs w:val="22"/>
      <w:lang w:val="en-US" w:eastAsia="en-US"/>
    </w:rPr>
  </w:style>
  <w:style w:type="character" w:customStyle="1" w:styleId="Heading6Char">
    <w:name w:val="Heading 6 Char"/>
    <w:basedOn w:val="DefaultParagraphFont"/>
    <w:link w:val="Heading6"/>
    <w:rsid w:val="00533117"/>
    <w:rPr>
      <w:rFonts w:ascii="Arial" w:hAnsi="Arial"/>
      <w:b/>
      <w:bCs/>
      <w:sz w:val="22"/>
      <w:szCs w:val="22"/>
    </w:rPr>
  </w:style>
  <w:style w:type="character" w:customStyle="1" w:styleId="Heading7Char">
    <w:name w:val="Heading 7 Char"/>
    <w:basedOn w:val="DefaultParagraphFont"/>
    <w:link w:val="Heading7"/>
    <w:rsid w:val="00533117"/>
    <w:rPr>
      <w:rFonts w:ascii="Arial" w:hAnsi="Arial" w:cs="Arial"/>
      <w:b/>
      <w:bCs/>
      <w:kern w:val="32"/>
      <w:sz w:val="36"/>
      <w:szCs w:val="32"/>
      <w:u w:color="46515B"/>
    </w:rPr>
  </w:style>
  <w:style w:type="character" w:customStyle="1" w:styleId="Heading8Char">
    <w:name w:val="Heading 8 Char"/>
    <w:basedOn w:val="DefaultParagraphFont"/>
    <w:link w:val="Heading8"/>
    <w:rsid w:val="00533117"/>
    <w:rPr>
      <w:rFonts w:ascii="Arial" w:hAnsi="Arial" w:cs="Arial"/>
      <w:b/>
      <w:kern w:val="32"/>
      <w:sz w:val="28"/>
      <w:szCs w:val="28"/>
    </w:rPr>
  </w:style>
  <w:style w:type="character" w:customStyle="1" w:styleId="Heading9Char">
    <w:name w:val="Heading 9 Char"/>
    <w:basedOn w:val="DefaultParagraphFont"/>
    <w:link w:val="Heading9"/>
    <w:rsid w:val="00533117"/>
    <w:rPr>
      <w:rFonts w:ascii="Arial" w:hAnsi="Arial" w:cs="Arial"/>
      <w:b/>
      <w:kern w:val="32"/>
      <w:sz w:val="22"/>
      <w:szCs w:val="26"/>
    </w:rPr>
  </w:style>
  <w:style w:type="paragraph" w:styleId="NormalWeb">
    <w:name w:val="Normal (Web)"/>
    <w:basedOn w:val="Normal"/>
    <w:uiPriority w:val="99"/>
    <w:unhideWhenUsed/>
    <w:rsid w:val="00533117"/>
    <w:pPr>
      <w:spacing w:before="100" w:beforeAutospacing="1" w:after="100" w:afterAutospacing="1"/>
    </w:pPr>
    <w:rPr>
      <w:lang w:eastAsia="en-AU"/>
    </w:rPr>
  </w:style>
  <w:style w:type="character" w:customStyle="1" w:styleId="InstructionText">
    <w:name w:val="Instruction Text"/>
    <w:basedOn w:val="DefaultParagraphFont"/>
    <w:uiPriority w:val="99"/>
    <w:qFormat/>
    <w:rsid w:val="00533117"/>
    <w:rPr>
      <w:rFonts w:cs="Times New Roman"/>
      <w:i/>
      <w:color w:val="0070C0"/>
    </w:rPr>
  </w:style>
  <w:style w:type="paragraph" w:styleId="BodyText2">
    <w:name w:val="Body Text 2"/>
    <w:basedOn w:val="Normal"/>
    <w:link w:val="BodyText2Char"/>
    <w:uiPriority w:val="99"/>
    <w:unhideWhenUsed/>
    <w:rsid w:val="006B5F2A"/>
    <w:pPr>
      <w:spacing w:after="120" w:line="480" w:lineRule="auto"/>
    </w:pPr>
  </w:style>
  <w:style w:type="character" w:customStyle="1" w:styleId="BodyText2Char">
    <w:name w:val="Body Text 2 Char"/>
    <w:basedOn w:val="DefaultParagraphFont"/>
    <w:link w:val="BodyText2"/>
    <w:uiPriority w:val="99"/>
    <w:rsid w:val="006B5F2A"/>
    <w:rPr>
      <w:sz w:val="24"/>
      <w:szCs w:val="24"/>
      <w:lang w:eastAsia="en-US"/>
    </w:rPr>
  </w:style>
  <w:style w:type="paragraph" w:customStyle="1" w:styleId="Style1">
    <w:name w:val="Style1"/>
    <w:basedOn w:val="Normal"/>
    <w:rsid w:val="006B5F2A"/>
    <w:pPr>
      <w:spacing w:after="0"/>
      <w:jc w:val="both"/>
    </w:pPr>
    <w:rPr>
      <w:sz w:val="22"/>
      <w:lang w:eastAsia="en-AU"/>
    </w:rPr>
  </w:style>
  <w:style w:type="paragraph" w:customStyle="1" w:styleId="qtbdash2">
    <w:name w:val="qtbdash2"/>
    <w:basedOn w:val="Normal"/>
    <w:rsid w:val="006B5F2A"/>
    <w:pPr>
      <w:numPr>
        <w:numId w:val="6"/>
      </w:numPr>
      <w:spacing w:after="0"/>
      <w:jc w:val="both"/>
    </w:pPr>
    <w:rPr>
      <w:sz w:val="22"/>
      <w:lang w:eastAsia="en-AU"/>
    </w:rPr>
  </w:style>
  <w:style w:type="paragraph" w:customStyle="1" w:styleId="HTMLBody">
    <w:name w:val="HTML Body"/>
    <w:rsid w:val="006B5F2A"/>
    <w:rPr>
      <w:rFonts w:ascii="Arial" w:hAnsi="Arial"/>
      <w:snapToGrid w:val="0"/>
      <w:lang w:val="en-US" w:eastAsia="en-US"/>
    </w:rPr>
  </w:style>
  <w:style w:type="paragraph" w:customStyle="1" w:styleId="Default">
    <w:name w:val="Default"/>
    <w:rsid w:val="006B5F2A"/>
    <w:pPr>
      <w:autoSpaceDE w:val="0"/>
      <w:autoSpaceDN w:val="0"/>
      <w:adjustRightInd w:val="0"/>
    </w:pPr>
    <w:rPr>
      <w:rFonts w:eastAsia="Calibri"/>
      <w:color w:val="000000"/>
      <w:sz w:val="24"/>
      <w:szCs w:val="24"/>
      <w:lang w:eastAsia="en-US"/>
    </w:rPr>
  </w:style>
  <w:style w:type="paragraph" w:styleId="PlainText">
    <w:name w:val="Plain Text"/>
    <w:basedOn w:val="Normal"/>
    <w:link w:val="PlainTextChar"/>
    <w:uiPriority w:val="99"/>
    <w:unhideWhenUsed/>
    <w:rsid w:val="006B5F2A"/>
    <w:pPr>
      <w:spacing w:after="0"/>
    </w:pPr>
    <w:rPr>
      <w:rFonts w:ascii="Consolas" w:hAnsi="Consolas"/>
      <w:sz w:val="21"/>
      <w:szCs w:val="21"/>
      <w:lang w:eastAsia="en-AU"/>
    </w:rPr>
  </w:style>
  <w:style w:type="character" w:customStyle="1" w:styleId="PlainTextChar">
    <w:name w:val="Plain Text Char"/>
    <w:basedOn w:val="DefaultParagraphFont"/>
    <w:link w:val="PlainText"/>
    <w:uiPriority w:val="99"/>
    <w:rsid w:val="006B5F2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560669">
      <w:marLeft w:val="0"/>
      <w:marRight w:val="0"/>
      <w:marTop w:val="0"/>
      <w:marBottom w:val="0"/>
      <w:divBdr>
        <w:top w:val="none" w:sz="0" w:space="0" w:color="auto"/>
        <w:left w:val="none" w:sz="0" w:space="0" w:color="auto"/>
        <w:bottom w:val="none" w:sz="0" w:space="0" w:color="auto"/>
        <w:right w:val="none" w:sz="0" w:space="0" w:color="auto"/>
      </w:divBdr>
    </w:div>
    <w:div w:id="1884560670">
      <w:marLeft w:val="0"/>
      <w:marRight w:val="0"/>
      <w:marTop w:val="0"/>
      <w:marBottom w:val="0"/>
      <w:divBdr>
        <w:top w:val="none" w:sz="0" w:space="0" w:color="auto"/>
        <w:left w:val="none" w:sz="0" w:space="0" w:color="auto"/>
        <w:bottom w:val="none" w:sz="0" w:space="0" w:color="auto"/>
        <w:right w:val="none" w:sz="0" w:space="0" w:color="auto"/>
      </w:divBdr>
    </w:div>
    <w:div w:id="1884560671">
      <w:marLeft w:val="0"/>
      <w:marRight w:val="0"/>
      <w:marTop w:val="0"/>
      <w:marBottom w:val="0"/>
      <w:divBdr>
        <w:top w:val="none" w:sz="0" w:space="0" w:color="auto"/>
        <w:left w:val="none" w:sz="0" w:space="0" w:color="auto"/>
        <w:bottom w:val="none" w:sz="0" w:space="0" w:color="auto"/>
        <w:right w:val="none" w:sz="0" w:space="0" w:color="auto"/>
      </w:divBdr>
    </w:div>
    <w:div w:id="204991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3.jpeg"/><Relationship Id="rId26" Type="http://schemas.openxmlformats.org/officeDocument/2006/relationships/hyperlink" Target="mailto:wendy.townsend@act.gov.au" TargetMode="External"/><Relationship Id="rId3" Type="http://schemas.openxmlformats.org/officeDocument/2006/relationships/customXml" Target="../customXml/item3.xml"/><Relationship Id="rId21" Type="http://schemas.openxmlformats.org/officeDocument/2006/relationships/hyperlink" Target="mailto:rbarwell@animalhealthaustralia.com.au"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janine.barrett@daf.qld.gov.au"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oie.int/?id=495"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usanne.fitzpatrick@nt.gov.au"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www.oie.int/?id=495" TargetMode="External"/><Relationship Id="rId23" Type="http://schemas.openxmlformats.org/officeDocument/2006/relationships/hyperlink" Target="mailto:katie.webb@dpird.wa.gov.au"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ie.int/animal-health-in-the-world/bse-specific-data/" TargetMode="External"/><Relationship Id="rId22" Type="http://schemas.openxmlformats.org/officeDocument/2006/relationships/hyperlink" Target="mailto:rowena.bell@dpipwe.tas.gov.au" TargetMode="External"/><Relationship Id="rId27" Type="http://schemas.openxmlformats.org/officeDocument/2006/relationships/hyperlink" Target="mailto:diana.miller@sa.gov.au"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4C03F4E5F91F489A91D75700F16116" ma:contentTypeVersion="0" ma:contentTypeDescription="Create a new document." ma:contentTypeScope="" ma:versionID="92b0693b0c21f22b45fa06c89bec64e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00ABF-5DF1-4214-87E7-321E07EC1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266331C-4215-483B-8521-B81B19D71804}">
  <ds:schemaRefs>
    <ds:schemaRef ds:uri="http://schemas.microsoft.com/sharepoint/v3/contenttype/forms"/>
  </ds:schemaRefs>
</ds:datastoreItem>
</file>

<file path=customXml/itemProps3.xml><?xml version="1.0" encoding="utf-8"?>
<ds:datastoreItem xmlns:ds="http://schemas.openxmlformats.org/officeDocument/2006/customXml" ds:itemID="{0657C406-4157-4AC9-8797-82688BF2B18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52BFD632-ECC6-441D-891D-C98E89D4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3950</Words>
  <Characters>24583</Characters>
  <Application>Microsoft Office Word</Application>
  <DocSecurity>4</DocSecurity>
  <Lines>204</Lines>
  <Paragraphs>56</Paragraphs>
  <ScaleCrop>false</ScaleCrop>
  <HeadingPairs>
    <vt:vector size="2" baseType="variant">
      <vt:variant>
        <vt:lpstr>Title</vt:lpstr>
      </vt:variant>
      <vt:variant>
        <vt:i4>1</vt:i4>
      </vt:variant>
    </vt:vector>
  </HeadingPairs>
  <TitlesOfParts>
    <vt:vector size="1" baseType="lpstr">
      <vt:lpstr>Report Title</vt:lpstr>
    </vt:vector>
  </TitlesOfParts>
  <Company>Australian Animal Health Council</Company>
  <LinksUpToDate>false</LinksUpToDate>
  <CharactersWithSpaces>28477</CharactersWithSpaces>
  <SharedDoc>false</SharedDoc>
  <HLinks>
    <vt:vector size="192" baseType="variant">
      <vt:variant>
        <vt:i4>2031671</vt:i4>
      </vt:variant>
      <vt:variant>
        <vt:i4>188</vt:i4>
      </vt:variant>
      <vt:variant>
        <vt:i4>0</vt:i4>
      </vt:variant>
      <vt:variant>
        <vt:i4>5</vt:i4>
      </vt:variant>
      <vt:variant>
        <vt:lpwstr/>
      </vt:variant>
      <vt:variant>
        <vt:lpwstr>_Toc292275060</vt:lpwstr>
      </vt:variant>
      <vt:variant>
        <vt:i4>1835063</vt:i4>
      </vt:variant>
      <vt:variant>
        <vt:i4>182</vt:i4>
      </vt:variant>
      <vt:variant>
        <vt:i4>0</vt:i4>
      </vt:variant>
      <vt:variant>
        <vt:i4>5</vt:i4>
      </vt:variant>
      <vt:variant>
        <vt:lpwstr/>
      </vt:variant>
      <vt:variant>
        <vt:lpwstr>_Toc292275059</vt:lpwstr>
      </vt:variant>
      <vt:variant>
        <vt:i4>1835063</vt:i4>
      </vt:variant>
      <vt:variant>
        <vt:i4>176</vt:i4>
      </vt:variant>
      <vt:variant>
        <vt:i4>0</vt:i4>
      </vt:variant>
      <vt:variant>
        <vt:i4>5</vt:i4>
      </vt:variant>
      <vt:variant>
        <vt:lpwstr/>
      </vt:variant>
      <vt:variant>
        <vt:lpwstr>_Toc292275058</vt:lpwstr>
      </vt:variant>
      <vt:variant>
        <vt:i4>1835063</vt:i4>
      </vt:variant>
      <vt:variant>
        <vt:i4>170</vt:i4>
      </vt:variant>
      <vt:variant>
        <vt:i4>0</vt:i4>
      </vt:variant>
      <vt:variant>
        <vt:i4>5</vt:i4>
      </vt:variant>
      <vt:variant>
        <vt:lpwstr/>
      </vt:variant>
      <vt:variant>
        <vt:lpwstr>_Toc292275057</vt:lpwstr>
      </vt:variant>
      <vt:variant>
        <vt:i4>1835063</vt:i4>
      </vt:variant>
      <vt:variant>
        <vt:i4>164</vt:i4>
      </vt:variant>
      <vt:variant>
        <vt:i4>0</vt:i4>
      </vt:variant>
      <vt:variant>
        <vt:i4>5</vt:i4>
      </vt:variant>
      <vt:variant>
        <vt:lpwstr/>
      </vt:variant>
      <vt:variant>
        <vt:lpwstr>_Toc292275056</vt:lpwstr>
      </vt:variant>
      <vt:variant>
        <vt:i4>1835063</vt:i4>
      </vt:variant>
      <vt:variant>
        <vt:i4>158</vt:i4>
      </vt:variant>
      <vt:variant>
        <vt:i4>0</vt:i4>
      </vt:variant>
      <vt:variant>
        <vt:i4>5</vt:i4>
      </vt:variant>
      <vt:variant>
        <vt:lpwstr/>
      </vt:variant>
      <vt:variant>
        <vt:lpwstr>_Toc292275055</vt:lpwstr>
      </vt:variant>
      <vt:variant>
        <vt:i4>1835063</vt:i4>
      </vt:variant>
      <vt:variant>
        <vt:i4>152</vt:i4>
      </vt:variant>
      <vt:variant>
        <vt:i4>0</vt:i4>
      </vt:variant>
      <vt:variant>
        <vt:i4>5</vt:i4>
      </vt:variant>
      <vt:variant>
        <vt:lpwstr/>
      </vt:variant>
      <vt:variant>
        <vt:lpwstr>_Toc292275054</vt:lpwstr>
      </vt:variant>
      <vt:variant>
        <vt:i4>1835063</vt:i4>
      </vt:variant>
      <vt:variant>
        <vt:i4>146</vt:i4>
      </vt:variant>
      <vt:variant>
        <vt:i4>0</vt:i4>
      </vt:variant>
      <vt:variant>
        <vt:i4>5</vt:i4>
      </vt:variant>
      <vt:variant>
        <vt:lpwstr/>
      </vt:variant>
      <vt:variant>
        <vt:lpwstr>_Toc292275053</vt:lpwstr>
      </vt:variant>
      <vt:variant>
        <vt:i4>1835063</vt:i4>
      </vt:variant>
      <vt:variant>
        <vt:i4>140</vt:i4>
      </vt:variant>
      <vt:variant>
        <vt:i4>0</vt:i4>
      </vt:variant>
      <vt:variant>
        <vt:i4>5</vt:i4>
      </vt:variant>
      <vt:variant>
        <vt:lpwstr/>
      </vt:variant>
      <vt:variant>
        <vt:lpwstr>_Toc292275052</vt:lpwstr>
      </vt:variant>
      <vt:variant>
        <vt:i4>1835063</vt:i4>
      </vt:variant>
      <vt:variant>
        <vt:i4>134</vt:i4>
      </vt:variant>
      <vt:variant>
        <vt:i4>0</vt:i4>
      </vt:variant>
      <vt:variant>
        <vt:i4>5</vt:i4>
      </vt:variant>
      <vt:variant>
        <vt:lpwstr/>
      </vt:variant>
      <vt:variant>
        <vt:lpwstr>_Toc292275051</vt:lpwstr>
      </vt:variant>
      <vt:variant>
        <vt:i4>1835063</vt:i4>
      </vt:variant>
      <vt:variant>
        <vt:i4>128</vt:i4>
      </vt:variant>
      <vt:variant>
        <vt:i4>0</vt:i4>
      </vt:variant>
      <vt:variant>
        <vt:i4>5</vt:i4>
      </vt:variant>
      <vt:variant>
        <vt:lpwstr/>
      </vt:variant>
      <vt:variant>
        <vt:lpwstr>_Toc292275050</vt:lpwstr>
      </vt:variant>
      <vt:variant>
        <vt:i4>1900599</vt:i4>
      </vt:variant>
      <vt:variant>
        <vt:i4>122</vt:i4>
      </vt:variant>
      <vt:variant>
        <vt:i4>0</vt:i4>
      </vt:variant>
      <vt:variant>
        <vt:i4>5</vt:i4>
      </vt:variant>
      <vt:variant>
        <vt:lpwstr/>
      </vt:variant>
      <vt:variant>
        <vt:lpwstr>_Toc292275049</vt:lpwstr>
      </vt:variant>
      <vt:variant>
        <vt:i4>1900599</vt:i4>
      </vt:variant>
      <vt:variant>
        <vt:i4>116</vt:i4>
      </vt:variant>
      <vt:variant>
        <vt:i4>0</vt:i4>
      </vt:variant>
      <vt:variant>
        <vt:i4>5</vt:i4>
      </vt:variant>
      <vt:variant>
        <vt:lpwstr/>
      </vt:variant>
      <vt:variant>
        <vt:lpwstr>_Toc292275048</vt:lpwstr>
      </vt:variant>
      <vt:variant>
        <vt:i4>1900599</vt:i4>
      </vt:variant>
      <vt:variant>
        <vt:i4>110</vt:i4>
      </vt:variant>
      <vt:variant>
        <vt:i4>0</vt:i4>
      </vt:variant>
      <vt:variant>
        <vt:i4>5</vt:i4>
      </vt:variant>
      <vt:variant>
        <vt:lpwstr/>
      </vt:variant>
      <vt:variant>
        <vt:lpwstr>_Toc292275047</vt:lpwstr>
      </vt:variant>
      <vt:variant>
        <vt:i4>1900599</vt:i4>
      </vt:variant>
      <vt:variant>
        <vt:i4>104</vt:i4>
      </vt:variant>
      <vt:variant>
        <vt:i4>0</vt:i4>
      </vt:variant>
      <vt:variant>
        <vt:i4>5</vt:i4>
      </vt:variant>
      <vt:variant>
        <vt:lpwstr/>
      </vt:variant>
      <vt:variant>
        <vt:lpwstr>_Toc292275046</vt:lpwstr>
      </vt:variant>
      <vt:variant>
        <vt:i4>1900599</vt:i4>
      </vt:variant>
      <vt:variant>
        <vt:i4>98</vt:i4>
      </vt:variant>
      <vt:variant>
        <vt:i4>0</vt:i4>
      </vt:variant>
      <vt:variant>
        <vt:i4>5</vt:i4>
      </vt:variant>
      <vt:variant>
        <vt:lpwstr/>
      </vt:variant>
      <vt:variant>
        <vt:lpwstr>_Toc292275045</vt:lpwstr>
      </vt:variant>
      <vt:variant>
        <vt:i4>1900599</vt:i4>
      </vt:variant>
      <vt:variant>
        <vt:i4>92</vt:i4>
      </vt:variant>
      <vt:variant>
        <vt:i4>0</vt:i4>
      </vt:variant>
      <vt:variant>
        <vt:i4>5</vt:i4>
      </vt:variant>
      <vt:variant>
        <vt:lpwstr/>
      </vt:variant>
      <vt:variant>
        <vt:lpwstr>_Toc292275044</vt:lpwstr>
      </vt:variant>
      <vt:variant>
        <vt:i4>1900599</vt:i4>
      </vt:variant>
      <vt:variant>
        <vt:i4>86</vt:i4>
      </vt:variant>
      <vt:variant>
        <vt:i4>0</vt:i4>
      </vt:variant>
      <vt:variant>
        <vt:i4>5</vt:i4>
      </vt:variant>
      <vt:variant>
        <vt:lpwstr/>
      </vt:variant>
      <vt:variant>
        <vt:lpwstr>_Toc292275043</vt:lpwstr>
      </vt:variant>
      <vt:variant>
        <vt:i4>1900599</vt:i4>
      </vt:variant>
      <vt:variant>
        <vt:i4>80</vt:i4>
      </vt:variant>
      <vt:variant>
        <vt:i4>0</vt:i4>
      </vt:variant>
      <vt:variant>
        <vt:i4>5</vt:i4>
      </vt:variant>
      <vt:variant>
        <vt:lpwstr/>
      </vt:variant>
      <vt:variant>
        <vt:lpwstr>_Toc292275042</vt:lpwstr>
      </vt:variant>
      <vt:variant>
        <vt:i4>1900599</vt:i4>
      </vt:variant>
      <vt:variant>
        <vt:i4>74</vt:i4>
      </vt:variant>
      <vt:variant>
        <vt:i4>0</vt:i4>
      </vt:variant>
      <vt:variant>
        <vt:i4>5</vt:i4>
      </vt:variant>
      <vt:variant>
        <vt:lpwstr/>
      </vt:variant>
      <vt:variant>
        <vt:lpwstr>_Toc292275041</vt:lpwstr>
      </vt:variant>
      <vt:variant>
        <vt:i4>1900599</vt:i4>
      </vt:variant>
      <vt:variant>
        <vt:i4>68</vt:i4>
      </vt:variant>
      <vt:variant>
        <vt:i4>0</vt:i4>
      </vt:variant>
      <vt:variant>
        <vt:i4>5</vt:i4>
      </vt:variant>
      <vt:variant>
        <vt:lpwstr/>
      </vt:variant>
      <vt:variant>
        <vt:lpwstr>_Toc292275040</vt:lpwstr>
      </vt:variant>
      <vt:variant>
        <vt:i4>1703991</vt:i4>
      </vt:variant>
      <vt:variant>
        <vt:i4>62</vt:i4>
      </vt:variant>
      <vt:variant>
        <vt:i4>0</vt:i4>
      </vt:variant>
      <vt:variant>
        <vt:i4>5</vt:i4>
      </vt:variant>
      <vt:variant>
        <vt:lpwstr/>
      </vt:variant>
      <vt:variant>
        <vt:lpwstr>_Toc292275039</vt:lpwstr>
      </vt:variant>
      <vt:variant>
        <vt:i4>1703991</vt:i4>
      </vt:variant>
      <vt:variant>
        <vt:i4>56</vt:i4>
      </vt:variant>
      <vt:variant>
        <vt:i4>0</vt:i4>
      </vt:variant>
      <vt:variant>
        <vt:i4>5</vt:i4>
      </vt:variant>
      <vt:variant>
        <vt:lpwstr/>
      </vt:variant>
      <vt:variant>
        <vt:lpwstr>_Toc292275038</vt:lpwstr>
      </vt:variant>
      <vt:variant>
        <vt:i4>1703991</vt:i4>
      </vt:variant>
      <vt:variant>
        <vt:i4>50</vt:i4>
      </vt:variant>
      <vt:variant>
        <vt:i4>0</vt:i4>
      </vt:variant>
      <vt:variant>
        <vt:i4>5</vt:i4>
      </vt:variant>
      <vt:variant>
        <vt:lpwstr/>
      </vt:variant>
      <vt:variant>
        <vt:lpwstr>_Toc292275037</vt:lpwstr>
      </vt:variant>
      <vt:variant>
        <vt:i4>1703991</vt:i4>
      </vt:variant>
      <vt:variant>
        <vt:i4>44</vt:i4>
      </vt:variant>
      <vt:variant>
        <vt:i4>0</vt:i4>
      </vt:variant>
      <vt:variant>
        <vt:i4>5</vt:i4>
      </vt:variant>
      <vt:variant>
        <vt:lpwstr/>
      </vt:variant>
      <vt:variant>
        <vt:lpwstr>_Toc292275036</vt:lpwstr>
      </vt:variant>
      <vt:variant>
        <vt:i4>1703991</vt:i4>
      </vt:variant>
      <vt:variant>
        <vt:i4>38</vt:i4>
      </vt:variant>
      <vt:variant>
        <vt:i4>0</vt:i4>
      </vt:variant>
      <vt:variant>
        <vt:i4>5</vt:i4>
      </vt:variant>
      <vt:variant>
        <vt:lpwstr/>
      </vt:variant>
      <vt:variant>
        <vt:lpwstr>_Toc292275035</vt:lpwstr>
      </vt:variant>
      <vt:variant>
        <vt:i4>1703991</vt:i4>
      </vt:variant>
      <vt:variant>
        <vt:i4>32</vt:i4>
      </vt:variant>
      <vt:variant>
        <vt:i4>0</vt:i4>
      </vt:variant>
      <vt:variant>
        <vt:i4>5</vt:i4>
      </vt:variant>
      <vt:variant>
        <vt:lpwstr/>
      </vt:variant>
      <vt:variant>
        <vt:lpwstr>_Toc292275034</vt:lpwstr>
      </vt:variant>
      <vt:variant>
        <vt:i4>1703991</vt:i4>
      </vt:variant>
      <vt:variant>
        <vt:i4>26</vt:i4>
      </vt:variant>
      <vt:variant>
        <vt:i4>0</vt:i4>
      </vt:variant>
      <vt:variant>
        <vt:i4>5</vt:i4>
      </vt:variant>
      <vt:variant>
        <vt:lpwstr/>
      </vt:variant>
      <vt:variant>
        <vt:lpwstr>_Toc292275033</vt:lpwstr>
      </vt:variant>
      <vt:variant>
        <vt:i4>1703991</vt:i4>
      </vt:variant>
      <vt:variant>
        <vt:i4>20</vt:i4>
      </vt:variant>
      <vt:variant>
        <vt:i4>0</vt:i4>
      </vt:variant>
      <vt:variant>
        <vt:i4>5</vt:i4>
      </vt:variant>
      <vt:variant>
        <vt:lpwstr/>
      </vt:variant>
      <vt:variant>
        <vt:lpwstr>_Toc292275032</vt:lpwstr>
      </vt:variant>
      <vt:variant>
        <vt:i4>1703991</vt:i4>
      </vt:variant>
      <vt:variant>
        <vt:i4>14</vt:i4>
      </vt:variant>
      <vt:variant>
        <vt:i4>0</vt:i4>
      </vt:variant>
      <vt:variant>
        <vt:i4>5</vt:i4>
      </vt:variant>
      <vt:variant>
        <vt:lpwstr/>
      </vt:variant>
      <vt:variant>
        <vt:lpwstr>_Toc292275031</vt:lpwstr>
      </vt:variant>
      <vt:variant>
        <vt:i4>1703991</vt:i4>
      </vt:variant>
      <vt:variant>
        <vt:i4>8</vt:i4>
      </vt:variant>
      <vt:variant>
        <vt:i4>0</vt:i4>
      </vt:variant>
      <vt:variant>
        <vt:i4>5</vt:i4>
      </vt:variant>
      <vt:variant>
        <vt:lpwstr/>
      </vt:variant>
      <vt:variant>
        <vt:lpwstr>_Toc292275030</vt:lpwstr>
      </vt:variant>
      <vt:variant>
        <vt:i4>1769527</vt:i4>
      </vt:variant>
      <vt:variant>
        <vt:i4>2</vt:i4>
      </vt:variant>
      <vt:variant>
        <vt:i4>0</vt:i4>
      </vt:variant>
      <vt:variant>
        <vt:i4>5</vt:i4>
      </vt:variant>
      <vt:variant>
        <vt:lpwstr/>
      </vt:variant>
      <vt:variant>
        <vt:lpwstr>_Toc292275029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Rob Barwell</dc:creator>
  <cp:lastModifiedBy>Alannah Andreini</cp:lastModifiedBy>
  <cp:revision>2</cp:revision>
  <cp:lastPrinted>2016-12-16T02:00:00Z</cp:lastPrinted>
  <dcterms:created xsi:type="dcterms:W3CDTF">2018-01-22T04:36:00Z</dcterms:created>
  <dcterms:modified xsi:type="dcterms:W3CDTF">2018-01-22T04:36:00Z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0x010100314C03F4E5F91F489A91D75700F16116</vt:lpwstr>
  </property>
  <property fmtid="{D5CDD505-2E9C-101B-9397-08002B2CF9AE}" pid="3" name="Archive Date">
    <vt:lpwstr/>
  </property>
  <property fmtid="{D5CDD505-2E9C-101B-9397-08002B2CF9AE}" pid="4" name="Document Type">
    <vt:lpwstr>Reference Group Meetings</vt:lpwstr>
  </property>
</Properties>
</file>